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CDD11" w14:textId="77777777" w:rsidR="00C869F3" w:rsidRDefault="00C869F3" w:rsidP="00C869F3">
      <w:pPr>
        <w:spacing w:after="480"/>
      </w:pPr>
      <w:r>
        <w:rPr>
          <w:noProof/>
        </w:rPr>
        <w:drawing>
          <wp:inline distT="0" distB="0" distL="0" distR="0" wp14:anchorId="3A4112DC" wp14:editId="2981A192">
            <wp:extent cx="2009775" cy="495935"/>
            <wp:effectExtent l="0" t="0" r="9525" b="0"/>
            <wp:docPr id="4" name="Picture 4" descr="Harrow Council Logo" title="Harrow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2">
                      <a:extLst>
                        <a:ext uri="{28A0092B-C50C-407E-A947-70E740481C1C}">
                          <a14:useLocalDpi xmlns:a14="http://schemas.microsoft.com/office/drawing/2010/main" val="0"/>
                        </a:ext>
                      </a:extLst>
                    </a:blip>
                    <a:stretch>
                      <a:fillRect/>
                    </a:stretch>
                  </pic:blipFill>
                  <pic:spPr>
                    <a:xfrm>
                      <a:off x="0" y="0"/>
                      <a:ext cx="2009775" cy="495935"/>
                    </a:xfrm>
                    <a:prstGeom prst="rect">
                      <a:avLst/>
                    </a:prstGeom>
                  </pic:spPr>
                </pic:pic>
              </a:graphicData>
            </a:graphic>
          </wp:inline>
        </w:drawing>
      </w:r>
    </w:p>
    <w:tbl>
      <w:tblPr>
        <w:tblStyle w:val="Style1"/>
        <w:tblW w:w="0" w:type="auto"/>
        <w:tblLook w:val="0000" w:firstRow="0" w:lastRow="0" w:firstColumn="0" w:lastColumn="0" w:noHBand="0" w:noVBand="0"/>
        <w:tblCaption w:val="Cabinet report summary details"/>
      </w:tblPr>
      <w:tblGrid>
        <w:gridCol w:w="3397"/>
        <w:gridCol w:w="4912"/>
      </w:tblGrid>
      <w:tr w:rsidR="00333FAA" w14:paraId="322EF0DF" w14:textId="77777777" w:rsidTr="00EB3CF0">
        <w:trPr>
          <w:tblHeader/>
        </w:trPr>
        <w:tc>
          <w:tcPr>
            <w:tcW w:w="3456" w:type="dxa"/>
            <w:tcBorders>
              <w:bottom w:val="single" w:sz="18" w:space="0" w:color="auto"/>
            </w:tcBorders>
          </w:tcPr>
          <w:p w14:paraId="10F9A427" w14:textId="77777777" w:rsidR="00333FAA" w:rsidRPr="00B805DB" w:rsidRDefault="005811F8" w:rsidP="00F06E4E">
            <w:pPr>
              <w:pStyle w:val="Heading1"/>
              <w:spacing w:after="240"/>
              <w:outlineLvl w:val="0"/>
            </w:pPr>
            <w:r>
              <w:t>Report f</w:t>
            </w:r>
            <w:r w:rsidRPr="00C869F3">
              <w:t>or</w:t>
            </w:r>
            <w:r w:rsidR="00333FAA" w:rsidRPr="00C869F3">
              <w:t>:</w:t>
            </w:r>
          </w:p>
        </w:tc>
        <w:tc>
          <w:tcPr>
            <w:tcW w:w="5054" w:type="dxa"/>
            <w:tcBorders>
              <w:bottom w:val="single" w:sz="18" w:space="0" w:color="auto"/>
            </w:tcBorders>
          </w:tcPr>
          <w:p w14:paraId="541B30E0" w14:textId="77777777" w:rsidR="00333FAA" w:rsidRPr="005E3A10" w:rsidRDefault="005811F8" w:rsidP="00F06E4E">
            <w:pPr>
              <w:pStyle w:val="Heading1"/>
              <w:outlineLvl w:val="0"/>
              <w:rPr>
                <w:szCs w:val="24"/>
              </w:rPr>
            </w:pPr>
            <w:r w:rsidRPr="005E3A10">
              <w:t>Cabinet</w:t>
            </w:r>
          </w:p>
        </w:tc>
      </w:tr>
      <w:tr w:rsidR="00333FAA" w14:paraId="67D60646" w14:textId="77777777" w:rsidTr="00EB3CF0">
        <w:tc>
          <w:tcPr>
            <w:tcW w:w="3456" w:type="dxa"/>
            <w:tcBorders>
              <w:top w:val="single" w:sz="18" w:space="0" w:color="auto"/>
            </w:tcBorders>
          </w:tcPr>
          <w:p w14:paraId="4DDB5947" w14:textId="77777777" w:rsidR="00333FAA" w:rsidRPr="00C13A5F" w:rsidRDefault="00333FAA" w:rsidP="00C869F3">
            <w:pPr>
              <w:pStyle w:val="Infotext"/>
              <w:spacing w:after="240"/>
              <w:rPr>
                <w:rFonts w:ascii="Arial Black" w:hAnsi="Arial Black" w:cs="Arial"/>
              </w:rPr>
            </w:pPr>
            <w:r w:rsidRPr="00C13A5F">
              <w:rPr>
                <w:rFonts w:ascii="Arial Black" w:hAnsi="Arial Black"/>
              </w:rPr>
              <w:t>Date</w:t>
            </w:r>
            <w:r>
              <w:rPr>
                <w:rFonts w:ascii="Arial Black" w:hAnsi="Arial Black"/>
              </w:rPr>
              <w:t xml:space="preserve"> of Meeting</w:t>
            </w:r>
            <w:r w:rsidRPr="00C13A5F">
              <w:rPr>
                <w:rFonts w:ascii="Arial Black" w:hAnsi="Arial Black"/>
              </w:rPr>
              <w:t>:</w:t>
            </w:r>
          </w:p>
        </w:tc>
        <w:tc>
          <w:tcPr>
            <w:tcW w:w="5054" w:type="dxa"/>
            <w:tcBorders>
              <w:top w:val="single" w:sz="18" w:space="0" w:color="auto"/>
            </w:tcBorders>
          </w:tcPr>
          <w:p w14:paraId="72FCD075" w14:textId="6CB5BA65" w:rsidR="00333FAA" w:rsidRPr="005E3A10" w:rsidRDefault="00F66A88" w:rsidP="00A53B04">
            <w:pPr>
              <w:rPr>
                <w:rFonts w:cs="Arial"/>
                <w:szCs w:val="24"/>
              </w:rPr>
            </w:pPr>
            <w:r>
              <w:rPr>
                <w:rFonts w:cs="Arial"/>
                <w:szCs w:val="24"/>
              </w:rPr>
              <w:t>16 February 2023</w:t>
            </w:r>
          </w:p>
        </w:tc>
      </w:tr>
      <w:tr w:rsidR="00333FAA" w14:paraId="3CC97725" w14:textId="77777777" w:rsidTr="00EB3CF0">
        <w:tc>
          <w:tcPr>
            <w:tcW w:w="3456" w:type="dxa"/>
          </w:tcPr>
          <w:p w14:paraId="18BB8951" w14:textId="77777777" w:rsidR="00333FAA" w:rsidRPr="00C13A5F" w:rsidRDefault="00333FAA" w:rsidP="00C869F3">
            <w:pPr>
              <w:pStyle w:val="Infotext"/>
              <w:spacing w:after="240"/>
              <w:rPr>
                <w:rFonts w:ascii="Arial Black" w:hAnsi="Arial Black"/>
              </w:rPr>
            </w:pPr>
            <w:r w:rsidRPr="00C13A5F">
              <w:rPr>
                <w:rFonts w:ascii="Arial Black" w:hAnsi="Arial Black" w:cs="Arial"/>
              </w:rPr>
              <w:t>Subject:</w:t>
            </w:r>
          </w:p>
        </w:tc>
        <w:tc>
          <w:tcPr>
            <w:tcW w:w="5054" w:type="dxa"/>
          </w:tcPr>
          <w:p w14:paraId="5CC7F8D1" w14:textId="77777777" w:rsidR="00333FAA" w:rsidRDefault="00F66A88" w:rsidP="00A53B04">
            <w:pPr>
              <w:rPr>
                <w:rFonts w:cs="Arial"/>
                <w:szCs w:val="24"/>
              </w:rPr>
            </w:pPr>
            <w:r>
              <w:rPr>
                <w:rFonts w:cs="Arial"/>
                <w:szCs w:val="24"/>
              </w:rPr>
              <w:t>Penalty Charge Notice (PCN) Borough-wide Banding Change</w:t>
            </w:r>
          </w:p>
          <w:p w14:paraId="6D8FB2C1" w14:textId="4B88DE60" w:rsidR="00D90E94" w:rsidRPr="005E3A10" w:rsidRDefault="00D90E94" w:rsidP="00A53B04">
            <w:pPr>
              <w:rPr>
                <w:rFonts w:cs="Arial"/>
                <w:szCs w:val="24"/>
              </w:rPr>
            </w:pPr>
          </w:p>
        </w:tc>
      </w:tr>
      <w:tr w:rsidR="00333FAA" w14:paraId="32449166" w14:textId="77777777" w:rsidTr="00EB3CF0">
        <w:tc>
          <w:tcPr>
            <w:tcW w:w="3456" w:type="dxa"/>
          </w:tcPr>
          <w:p w14:paraId="17ECA8FA" w14:textId="77777777" w:rsidR="00333FAA" w:rsidRPr="00C13A5F" w:rsidRDefault="00333FAA" w:rsidP="00C869F3">
            <w:pPr>
              <w:pStyle w:val="Infotext"/>
              <w:spacing w:after="240"/>
              <w:rPr>
                <w:rFonts w:ascii="Arial Black" w:hAnsi="Arial Black" w:cs="Arial"/>
              </w:rPr>
            </w:pPr>
            <w:r w:rsidRPr="00C13A5F">
              <w:rPr>
                <w:rFonts w:ascii="Arial Black" w:hAnsi="Arial Black" w:cs="Arial"/>
              </w:rPr>
              <w:t>Key Decision:</w:t>
            </w:r>
          </w:p>
        </w:tc>
        <w:tc>
          <w:tcPr>
            <w:tcW w:w="5054" w:type="dxa"/>
          </w:tcPr>
          <w:p w14:paraId="3EADF2B3" w14:textId="5C33D540" w:rsidR="00333FAA" w:rsidRPr="005E3A10" w:rsidRDefault="001C7E35" w:rsidP="00F66A88">
            <w:pPr>
              <w:pStyle w:val="Infotext"/>
              <w:rPr>
                <w:rFonts w:cs="Arial"/>
                <w:szCs w:val="24"/>
              </w:rPr>
            </w:pPr>
            <w:r w:rsidRPr="005E3A10">
              <w:rPr>
                <w:rFonts w:cs="Arial"/>
                <w:sz w:val="24"/>
                <w:szCs w:val="24"/>
              </w:rPr>
              <w:t>Yes</w:t>
            </w:r>
            <w:r w:rsidR="00D90E94">
              <w:rPr>
                <w:rFonts w:cs="Arial"/>
                <w:sz w:val="24"/>
                <w:szCs w:val="24"/>
              </w:rPr>
              <w:t xml:space="preserve"> - it</w:t>
            </w:r>
            <w:r w:rsidR="00F66A88">
              <w:rPr>
                <w:rFonts w:cs="Arial"/>
                <w:sz w:val="24"/>
                <w:szCs w:val="24"/>
              </w:rPr>
              <w:t xml:space="preserve"> affects all wards in the borough</w:t>
            </w:r>
          </w:p>
        </w:tc>
      </w:tr>
      <w:tr w:rsidR="001C7E35" w14:paraId="79E96200" w14:textId="77777777" w:rsidTr="00EB3CF0">
        <w:tc>
          <w:tcPr>
            <w:tcW w:w="3456" w:type="dxa"/>
          </w:tcPr>
          <w:p w14:paraId="0B8ABDC4" w14:textId="77777777" w:rsidR="001C7E35" w:rsidRPr="00C13A5F" w:rsidRDefault="001C7E35" w:rsidP="00C869F3">
            <w:pPr>
              <w:pStyle w:val="Infotext"/>
              <w:spacing w:after="240"/>
              <w:rPr>
                <w:rFonts w:ascii="Arial Black" w:hAnsi="Arial Black" w:cs="Arial"/>
              </w:rPr>
            </w:pPr>
            <w:r w:rsidRPr="00C13A5F">
              <w:rPr>
                <w:rFonts w:ascii="Arial Black" w:hAnsi="Arial Black" w:cs="Arial"/>
              </w:rPr>
              <w:t>Responsible Officer:</w:t>
            </w:r>
          </w:p>
        </w:tc>
        <w:tc>
          <w:tcPr>
            <w:tcW w:w="5054" w:type="dxa"/>
          </w:tcPr>
          <w:p w14:paraId="34A7FAB7" w14:textId="0DD3AF4E" w:rsidR="00F66A88" w:rsidRDefault="00F66A88" w:rsidP="00F66A88">
            <w:pPr>
              <w:pStyle w:val="Infotext"/>
              <w:jc w:val="both"/>
              <w:rPr>
                <w:rFonts w:cs="Arial"/>
                <w:sz w:val="24"/>
                <w:szCs w:val="24"/>
              </w:rPr>
            </w:pPr>
            <w:r>
              <w:rPr>
                <w:rFonts w:cs="Arial"/>
                <w:sz w:val="24"/>
                <w:szCs w:val="24"/>
              </w:rPr>
              <w:t xml:space="preserve">Dipti Patel - Corporate Director of </w:t>
            </w:r>
            <w:proofErr w:type="gramStart"/>
            <w:r>
              <w:rPr>
                <w:rFonts w:cs="Arial"/>
                <w:sz w:val="24"/>
                <w:szCs w:val="24"/>
              </w:rPr>
              <w:t>Place</w:t>
            </w:r>
            <w:r w:rsidR="00D90E94">
              <w:rPr>
                <w:rFonts w:cs="Arial"/>
                <w:sz w:val="24"/>
                <w:szCs w:val="24"/>
              </w:rPr>
              <w:t>;</w:t>
            </w:r>
            <w:proofErr w:type="gramEnd"/>
            <w:r>
              <w:rPr>
                <w:rFonts w:cs="Arial"/>
                <w:sz w:val="24"/>
                <w:szCs w:val="24"/>
              </w:rPr>
              <w:t xml:space="preserve">  </w:t>
            </w:r>
          </w:p>
          <w:p w14:paraId="2B4A1F5D" w14:textId="77777777" w:rsidR="00F66A88" w:rsidRPr="005E3A10" w:rsidRDefault="00F66A88" w:rsidP="00F66A88">
            <w:pPr>
              <w:pStyle w:val="Infotext"/>
              <w:jc w:val="both"/>
              <w:rPr>
                <w:rFonts w:cs="Arial"/>
                <w:sz w:val="24"/>
                <w:szCs w:val="24"/>
              </w:rPr>
            </w:pPr>
            <w:r>
              <w:rPr>
                <w:rFonts w:cs="Arial"/>
                <w:sz w:val="24"/>
                <w:szCs w:val="24"/>
              </w:rPr>
              <w:t xml:space="preserve">Cathy Knubley - </w:t>
            </w:r>
            <w:r w:rsidRPr="005E3A10">
              <w:rPr>
                <w:rFonts w:cs="Arial"/>
                <w:sz w:val="24"/>
                <w:szCs w:val="24"/>
              </w:rPr>
              <w:t xml:space="preserve">Director </w:t>
            </w:r>
            <w:r>
              <w:rPr>
                <w:rFonts w:cs="Arial"/>
                <w:sz w:val="24"/>
                <w:szCs w:val="24"/>
              </w:rPr>
              <w:t>of Environment</w:t>
            </w:r>
          </w:p>
          <w:p w14:paraId="3798BF23" w14:textId="77777777" w:rsidR="001C7E35" w:rsidRPr="005E3A10" w:rsidRDefault="001C7E35" w:rsidP="00F66A88">
            <w:pPr>
              <w:pStyle w:val="Infotext"/>
              <w:rPr>
                <w:rFonts w:cs="Arial"/>
                <w:sz w:val="24"/>
                <w:szCs w:val="24"/>
              </w:rPr>
            </w:pPr>
          </w:p>
        </w:tc>
      </w:tr>
      <w:tr w:rsidR="001C7E35" w14:paraId="3B6FD8B1" w14:textId="77777777" w:rsidTr="00EB3CF0">
        <w:tc>
          <w:tcPr>
            <w:tcW w:w="3456" w:type="dxa"/>
          </w:tcPr>
          <w:p w14:paraId="0961945D" w14:textId="77777777" w:rsidR="001C7E35" w:rsidRPr="00C13A5F" w:rsidRDefault="001C7E35" w:rsidP="00C869F3">
            <w:pPr>
              <w:pStyle w:val="Infotext"/>
              <w:spacing w:after="240"/>
              <w:rPr>
                <w:rFonts w:ascii="Arial Black" w:hAnsi="Arial Black"/>
              </w:rPr>
            </w:pPr>
            <w:r w:rsidRPr="00DB6C3D">
              <w:rPr>
                <w:rFonts w:ascii="Arial Black" w:hAnsi="Arial Black"/>
              </w:rPr>
              <w:t>Portfolio Holder:</w:t>
            </w:r>
          </w:p>
        </w:tc>
        <w:tc>
          <w:tcPr>
            <w:tcW w:w="5054" w:type="dxa"/>
          </w:tcPr>
          <w:p w14:paraId="1C995102" w14:textId="16A5A878" w:rsidR="00F66A88" w:rsidRPr="00B345C5" w:rsidRDefault="00F66A88" w:rsidP="00F66A88">
            <w:pPr>
              <w:pStyle w:val="Infotext"/>
              <w:jc w:val="both"/>
              <w:rPr>
                <w:rFonts w:cs="Arial"/>
                <w:sz w:val="24"/>
                <w:szCs w:val="24"/>
              </w:rPr>
            </w:pPr>
            <w:r w:rsidRPr="00B345C5">
              <w:rPr>
                <w:rFonts w:cs="Arial"/>
                <w:sz w:val="24"/>
                <w:szCs w:val="24"/>
              </w:rPr>
              <w:t>Councillor Anjana Patel</w:t>
            </w:r>
            <w:r>
              <w:rPr>
                <w:rFonts w:cs="Arial"/>
                <w:sz w:val="24"/>
                <w:szCs w:val="24"/>
              </w:rPr>
              <w:t xml:space="preserve"> - Portfolio Holder</w:t>
            </w:r>
            <w:r w:rsidR="00D90E94">
              <w:rPr>
                <w:rFonts w:cs="Arial"/>
                <w:sz w:val="24"/>
                <w:szCs w:val="24"/>
              </w:rPr>
              <w:t xml:space="preserve"> for</w:t>
            </w:r>
            <w:r>
              <w:rPr>
                <w:rFonts w:cs="Arial"/>
                <w:sz w:val="24"/>
                <w:szCs w:val="24"/>
              </w:rPr>
              <w:t xml:space="preserve"> Environment &amp; Community Safety </w:t>
            </w:r>
          </w:p>
          <w:p w14:paraId="39A9A01A" w14:textId="411A4C5B" w:rsidR="001C7E35" w:rsidRPr="005E3A10" w:rsidRDefault="001C7E35" w:rsidP="00D835CF">
            <w:pPr>
              <w:pStyle w:val="Infotext"/>
              <w:rPr>
                <w:rFonts w:cs="Arial"/>
                <w:color w:val="FF0000"/>
                <w:sz w:val="24"/>
                <w:szCs w:val="24"/>
              </w:rPr>
            </w:pPr>
          </w:p>
        </w:tc>
      </w:tr>
      <w:tr w:rsidR="001C7E35" w14:paraId="3CF618C8" w14:textId="77777777" w:rsidTr="00EB3CF0">
        <w:tc>
          <w:tcPr>
            <w:tcW w:w="3456" w:type="dxa"/>
          </w:tcPr>
          <w:p w14:paraId="4CD8D092" w14:textId="77777777" w:rsidR="001C7E35" w:rsidRPr="00C13A5F" w:rsidRDefault="001C7E35" w:rsidP="00C869F3">
            <w:pPr>
              <w:pStyle w:val="Infotext"/>
              <w:spacing w:after="240"/>
              <w:rPr>
                <w:rFonts w:ascii="Arial Black" w:hAnsi="Arial Black"/>
              </w:rPr>
            </w:pPr>
            <w:r w:rsidRPr="00DB6C3D">
              <w:rPr>
                <w:rFonts w:ascii="Arial Black" w:hAnsi="Arial Black"/>
              </w:rPr>
              <w:t>Exempt:</w:t>
            </w:r>
          </w:p>
        </w:tc>
        <w:tc>
          <w:tcPr>
            <w:tcW w:w="5054" w:type="dxa"/>
          </w:tcPr>
          <w:p w14:paraId="34C65BD0" w14:textId="5B3DAB54" w:rsidR="001C7E35" w:rsidRPr="005E3A10" w:rsidRDefault="001C7E35" w:rsidP="00D835CF">
            <w:pPr>
              <w:pStyle w:val="Infotext"/>
              <w:rPr>
                <w:rFonts w:cs="Arial"/>
                <w:sz w:val="24"/>
                <w:szCs w:val="24"/>
              </w:rPr>
            </w:pPr>
            <w:r w:rsidRPr="005E3A10">
              <w:rPr>
                <w:rFonts w:cs="Arial"/>
                <w:sz w:val="24"/>
                <w:szCs w:val="24"/>
              </w:rPr>
              <w:t>No</w:t>
            </w:r>
          </w:p>
          <w:p w14:paraId="755E47D1" w14:textId="77777777" w:rsidR="001C7E35" w:rsidRPr="005E3A10" w:rsidRDefault="001C7E35" w:rsidP="00F66A88">
            <w:pPr>
              <w:pStyle w:val="Infotext"/>
              <w:rPr>
                <w:rFonts w:cs="Arial"/>
                <w:color w:val="FF0000"/>
                <w:sz w:val="24"/>
                <w:szCs w:val="24"/>
              </w:rPr>
            </w:pPr>
          </w:p>
        </w:tc>
      </w:tr>
      <w:tr w:rsidR="001C7E35" w14:paraId="577CD75A" w14:textId="77777777" w:rsidTr="00EB3CF0">
        <w:tc>
          <w:tcPr>
            <w:tcW w:w="3456" w:type="dxa"/>
          </w:tcPr>
          <w:p w14:paraId="4821943C" w14:textId="77777777" w:rsidR="001C7E35" w:rsidRPr="00C13A5F" w:rsidRDefault="001C7E35" w:rsidP="00C869F3">
            <w:pPr>
              <w:pStyle w:val="Infotext"/>
              <w:spacing w:after="240"/>
              <w:rPr>
                <w:rFonts w:ascii="Arial Black" w:hAnsi="Arial Black"/>
              </w:rPr>
            </w:pPr>
            <w:r w:rsidRPr="00DB6C3D">
              <w:rPr>
                <w:rFonts w:ascii="Arial Black" w:hAnsi="Arial Black"/>
              </w:rPr>
              <w:t>Decision subject to Call-in:</w:t>
            </w:r>
          </w:p>
        </w:tc>
        <w:tc>
          <w:tcPr>
            <w:tcW w:w="5054" w:type="dxa"/>
          </w:tcPr>
          <w:p w14:paraId="3A75E271" w14:textId="7AE4679D" w:rsidR="00714BEE" w:rsidRPr="005E3A10" w:rsidRDefault="001C7E35" w:rsidP="00F66A88">
            <w:pPr>
              <w:pStyle w:val="Infotext"/>
              <w:rPr>
                <w:rFonts w:cs="Arial"/>
                <w:szCs w:val="24"/>
              </w:rPr>
            </w:pPr>
            <w:r w:rsidRPr="005E3A10">
              <w:rPr>
                <w:rFonts w:cs="Arial"/>
                <w:sz w:val="24"/>
                <w:szCs w:val="24"/>
              </w:rPr>
              <w:t xml:space="preserve">Yes </w:t>
            </w:r>
          </w:p>
        </w:tc>
      </w:tr>
      <w:tr w:rsidR="001C7E35" w14:paraId="7E5497E1" w14:textId="77777777" w:rsidTr="00EB3CF0">
        <w:tc>
          <w:tcPr>
            <w:tcW w:w="3456" w:type="dxa"/>
          </w:tcPr>
          <w:p w14:paraId="6B5E6A6A" w14:textId="77777777" w:rsidR="001C7E35" w:rsidRPr="00C13A5F" w:rsidRDefault="001C7E35" w:rsidP="00C869F3">
            <w:pPr>
              <w:pStyle w:val="Infotext"/>
              <w:spacing w:after="240"/>
              <w:rPr>
                <w:rFonts w:ascii="Arial Black" w:hAnsi="Arial Black" w:cs="Arial"/>
              </w:rPr>
            </w:pPr>
            <w:r>
              <w:rPr>
                <w:rFonts w:ascii="Arial Black" w:hAnsi="Arial Black" w:cs="Arial"/>
              </w:rPr>
              <w:t>Wards affected:</w:t>
            </w:r>
          </w:p>
        </w:tc>
        <w:tc>
          <w:tcPr>
            <w:tcW w:w="5054" w:type="dxa"/>
          </w:tcPr>
          <w:p w14:paraId="52E38AE7" w14:textId="282B309E" w:rsidR="00307F76" w:rsidRPr="00307F76" w:rsidRDefault="00F66A88" w:rsidP="00F66A88">
            <w:pPr>
              <w:rPr>
                <w:rFonts w:cs="Arial"/>
                <w:b/>
                <w:color w:val="FF0000"/>
                <w:szCs w:val="24"/>
              </w:rPr>
            </w:pPr>
            <w:r>
              <w:rPr>
                <w:rFonts w:cs="Arial"/>
                <w:szCs w:val="24"/>
              </w:rPr>
              <w:t>All Wards</w:t>
            </w:r>
          </w:p>
        </w:tc>
      </w:tr>
      <w:tr w:rsidR="001C7E35" w14:paraId="5F1445BF" w14:textId="77777777" w:rsidTr="00EB3CF0">
        <w:tc>
          <w:tcPr>
            <w:tcW w:w="3456" w:type="dxa"/>
          </w:tcPr>
          <w:p w14:paraId="0E539C63" w14:textId="77777777" w:rsidR="001C7E35" w:rsidRPr="00C13A5F" w:rsidRDefault="001C7E35" w:rsidP="00C869F3">
            <w:pPr>
              <w:pStyle w:val="Infotext"/>
              <w:spacing w:after="240"/>
              <w:rPr>
                <w:rFonts w:ascii="Arial Black" w:hAnsi="Arial Black" w:cs="Arial"/>
              </w:rPr>
            </w:pPr>
            <w:r w:rsidRPr="00C13A5F">
              <w:rPr>
                <w:rFonts w:ascii="Arial Black" w:hAnsi="Arial Black" w:cs="Arial"/>
              </w:rPr>
              <w:t>Enclosures:</w:t>
            </w:r>
          </w:p>
        </w:tc>
        <w:tc>
          <w:tcPr>
            <w:tcW w:w="5054" w:type="dxa"/>
          </w:tcPr>
          <w:p w14:paraId="6668D730" w14:textId="1327895A" w:rsidR="001C7E35" w:rsidRPr="005E3A10" w:rsidRDefault="00F66A88" w:rsidP="00DB6C3D">
            <w:pPr>
              <w:pStyle w:val="Infotext"/>
              <w:rPr>
                <w:color w:val="FF0000"/>
                <w:sz w:val="24"/>
                <w:szCs w:val="24"/>
              </w:rPr>
            </w:pPr>
            <w:r>
              <w:rPr>
                <w:rFonts w:cs="Arial"/>
                <w:sz w:val="24"/>
                <w:szCs w:val="24"/>
              </w:rPr>
              <w:t>None</w:t>
            </w:r>
          </w:p>
        </w:tc>
      </w:tr>
    </w:tbl>
    <w:p w14:paraId="27C48D26" w14:textId="77777777" w:rsidR="00333FAA" w:rsidRDefault="00333FAA" w:rsidP="00C869F3">
      <w:pPr>
        <w:spacing w:after="480"/>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Section 1 – Summary and Recommendations"/>
        <w:tblDescription w:val="Section 1 – Summary and Recommendations text box"/>
      </w:tblPr>
      <w:tblGrid>
        <w:gridCol w:w="8309"/>
      </w:tblGrid>
      <w:tr w:rsidR="00333FAA" w14:paraId="39320826" w14:textId="77777777" w:rsidTr="00221A93">
        <w:trPr>
          <w:tblHeader/>
        </w:trPr>
        <w:tc>
          <w:tcPr>
            <w:tcW w:w="8525" w:type="dxa"/>
            <w:tcBorders>
              <w:top w:val="nil"/>
              <w:left w:val="nil"/>
              <w:right w:val="nil"/>
            </w:tcBorders>
          </w:tcPr>
          <w:p w14:paraId="3A67BFB3" w14:textId="77777777" w:rsidR="00333FAA" w:rsidRDefault="00333FAA" w:rsidP="00605A4C">
            <w:pPr>
              <w:pStyle w:val="Heading2"/>
              <w:spacing w:after="240"/>
            </w:pPr>
            <w:r>
              <w:lastRenderedPageBreak/>
              <w:t>Section 1 – Summary and Recommendations</w:t>
            </w:r>
          </w:p>
        </w:tc>
      </w:tr>
      <w:tr w:rsidR="00333FAA" w14:paraId="5D78E563" w14:textId="77777777" w:rsidTr="00221A93">
        <w:trPr>
          <w:tblHeader/>
        </w:trPr>
        <w:tc>
          <w:tcPr>
            <w:tcW w:w="8525" w:type="dxa"/>
          </w:tcPr>
          <w:p w14:paraId="1D8E50D5" w14:textId="77777777" w:rsidR="00B15BF8" w:rsidRPr="00077493" w:rsidRDefault="00B15BF8" w:rsidP="00B15BF8">
            <w:pPr>
              <w:autoSpaceDE w:val="0"/>
              <w:autoSpaceDN w:val="0"/>
              <w:adjustRightInd w:val="0"/>
              <w:jc w:val="both"/>
              <w:rPr>
                <w:rFonts w:ascii="ArialMT" w:hAnsi="ArialMT" w:cs="ArialMT"/>
                <w:szCs w:val="24"/>
                <w:lang w:eastAsia="en-GB"/>
              </w:rPr>
            </w:pPr>
            <w:r>
              <w:rPr>
                <w:rFonts w:ascii="ArialMT" w:hAnsi="ArialMT" w:cs="ArialMT"/>
                <w:szCs w:val="24"/>
                <w:lang w:eastAsia="en-GB"/>
              </w:rPr>
              <w:t>This report considers moving all Harrow parking Penalty Charge Notices (PCNs) to the higher Band ‘A’ level borough wide. If agreed, it would then be subject to public consultation and subsequent endorsement by London Councils, the Mayor of London, and the Secretary of State for Transport.</w:t>
            </w:r>
            <w:r>
              <w:rPr>
                <w:color w:val="000000" w:themeColor="text1"/>
              </w:rPr>
              <w:t xml:space="preserve"> </w:t>
            </w:r>
          </w:p>
          <w:p w14:paraId="77BFAA48" w14:textId="77777777" w:rsidR="00B15BF8" w:rsidRPr="00605A4C" w:rsidRDefault="00B15BF8" w:rsidP="00B15BF8">
            <w:pPr>
              <w:pStyle w:val="Heading3"/>
              <w:spacing w:before="240"/>
              <w:ind w:left="0" w:firstLine="0"/>
            </w:pPr>
            <w:bookmarkStart w:id="0" w:name="_Hlk106009182"/>
            <w:r>
              <w:t>Recommen</w:t>
            </w:r>
            <w:r w:rsidRPr="00605A4C">
              <w:t xml:space="preserve">dations: </w:t>
            </w:r>
          </w:p>
          <w:p w14:paraId="0EF4811F" w14:textId="77777777" w:rsidR="00B15BF8" w:rsidRDefault="00B15BF8" w:rsidP="00B15BF8">
            <w:pPr>
              <w:jc w:val="both"/>
            </w:pPr>
            <w:r>
              <w:t>Cabinet is requested to:</w:t>
            </w:r>
          </w:p>
          <w:p w14:paraId="550A4A91" w14:textId="77777777" w:rsidR="00B15BF8" w:rsidRDefault="00B15BF8" w:rsidP="00B15BF8">
            <w:pPr>
              <w:jc w:val="both"/>
            </w:pPr>
          </w:p>
          <w:bookmarkEnd w:id="0"/>
          <w:p w14:paraId="06DB8162" w14:textId="78E74F7E" w:rsidR="00B15BF8" w:rsidRDefault="00B15BF8" w:rsidP="00D90E94">
            <w:pPr>
              <w:pStyle w:val="ListParagraph"/>
              <w:numPr>
                <w:ilvl w:val="0"/>
                <w:numId w:val="49"/>
              </w:numPr>
              <w:autoSpaceDE w:val="0"/>
              <w:autoSpaceDN w:val="0"/>
              <w:adjustRightInd w:val="0"/>
              <w:jc w:val="both"/>
              <w:rPr>
                <w:rFonts w:ascii="ArialMT" w:hAnsi="ArialMT" w:cs="ArialMT"/>
                <w:szCs w:val="24"/>
                <w:lang w:eastAsia="en-GB"/>
              </w:rPr>
            </w:pPr>
            <w:r>
              <w:rPr>
                <w:rFonts w:ascii="ArialMT" w:hAnsi="ArialMT" w:cs="ArialMT"/>
                <w:szCs w:val="24"/>
                <w:lang w:eastAsia="en-GB"/>
              </w:rPr>
              <w:t>Approve the c</w:t>
            </w:r>
            <w:r w:rsidRPr="00077493">
              <w:rPr>
                <w:rFonts w:ascii="ArialMT" w:hAnsi="ArialMT" w:cs="ArialMT"/>
                <w:szCs w:val="24"/>
                <w:lang w:eastAsia="en-GB"/>
              </w:rPr>
              <w:t>onsult</w:t>
            </w:r>
            <w:r>
              <w:rPr>
                <w:rFonts w:ascii="ArialMT" w:hAnsi="ArialMT" w:cs="ArialMT"/>
                <w:szCs w:val="24"/>
                <w:lang w:eastAsia="en-GB"/>
              </w:rPr>
              <w:t>ation of</w:t>
            </w:r>
            <w:r w:rsidRPr="00077493">
              <w:rPr>
                <w:rFonts w:ascii="ArialMT" w:hAnsi="ArialMT" w:cs="ArialMT"/>
                <w:szCs w:val="24"/>
                <w:lang w:eastAsia="en-GB"/>
              </w:rPr>
              <w:t xml:space="preserve"> parking account holders and residents, during </w:t>
            </w:r>
            <w:r>
              <w:rPr>
                <w:rFonts w:ascii="ArialMT" w:hAnsi="ArialMT" w:cs="ArialMT"/>
                <w:szCs w:val="24"/>
                <w:lang w:eastAsia="en-GB"/>
              </w:rPr>
              <w:t xml:space="preserve">spring </w:t>
            </w:r>
            <w:r w:rsidRPr="00077493">
              <w:rPr>
                <w:rFonts w:ascii="ArialMT" w:hAnsi="ArialMT" w:cs="ArialMT"/>
                <w:szCs w:val="24"/>
                <w:lang w:eastAsia="en-GB"/>
              </w:rPr>
              <w:t>202</w:t>
            </w:r>
            <w:r>
              <w:rPr>
                <w:rFonts w:ascii="ArialMT" w:hAnsi="ArialMT" w:cs="ArialMT"/>
                <w:szCs w:val="24"/>
                <w:lang w:eastAsia="en-GB"/>
              </w:rPr>
              <w:t>3</w:t>
            </w:r>
            <w:r w:rsidRPr="00077493">
              <w:rPr>
                <w:rFonts w:ascii="ArialMT" w:hAnsi="ArialMT" w:cs="ArialMT"/>
                <w:szCs w:val="24"/>
                <w:lang w:eastAsia="en-GB"/>
              </w:rPr>
              <w:t>, on moving all</w:t>
            </w:r>
            <w:r>
              <w:rPr>
                <w:rFonts w:ascii="ArialMT" w:hAnsi="ArialMT" w:cs="ArialMT"/>
                <w:szCs w:val="24"/>
                <w:lang w:eastAsia="en-GB"/>
              </w:rPr>
              <w:t xml:space="preserve"> Harrow</w:t>
            </w:r>
            <w:r w:rsidRPr="00077493">
              <w:rPr>
                <w:rFonts w:ascii="ArialMT" w:hAnsi="ArialMT" w:cs="ArialMT"/>
                <w:szCs w:val="24"/>
                <w:lang w:eastAsia="en-GB"/>
              </w:rPr>
              <w:t xml:space="preserve"> parking Penalty Charge Notices to the higher Band ‘A’ penalty </w:t>
            </w:r>
            <w:proofErr w:type="gramStart"/>
            <w:r w:rsidRPr="00077493">
              <w:rPr>
                <w:rFonts w:ascii="ArialMT" w:hAnsi="ArialMT" w:cs="ArialMT"/>
                <w:szCs w:val="24"/>
                <w:lang w:eastAsia="en-GB"/>
              </w:rPr>
              <w:t>rate</w:t>
            </w:r>
            <w:r w:rsidR="00D90E94">
              <w:rPr>
                <w:rFonts w:ascii="ArialMT" w:hAnsi="ArialMT" w:cs="ArialMT"/>
                <w:szCs w:val="24"/>
                <w:lang w:eastAsia="en-GB"/>
              </w:rPr>
              <w:t>;</w:t>
            </w:r>
            <w:proofErr w:type="gramEnd"/>
            <w:r w:rsidR="00D90E94">
              <w:rPr>
                <w:rFonts w:ascii="ArialMT" w:hAnsi="ArialMT" w:cs="ArialMT"/>
                <w:szCs w:val="24"/>
                <w:lang w:eastAsia="en-GB"/>
              </w:rPr>
              <w:t xml:space="preserve"> </w:t>
            </w:r>
          </w:p>
          <w:p w14:paraId="5CE18F34" w14:textId="77777777" w:rsidR="00D90E94" w:rsidRDefault="00D90E94" w:rsidP="00D90E94">
            <w:pPr>
              <w:pStyle w:val="ListParagraph"/>
              <w:autoSpaceDE w:val="0"/>
              <w:autoSpaceDN w:val="0"/>
              <w:adjustRightInd w:val="0"/>
              <w:jc w:val="both"/>
              <w:rPr>
                <w:rFonts w:ascii="ArialMT" w:hAnsi="ArialMT" w:cs="ArialMT"/>
                <w:szCs w:val="24"/>
                <w:lang w:eastAsia="en-GB"/>
              </w:rPr>
            </w:pPr>
          </w:p>
          <w:p w14:paraId="2DFF44E0" w14:textId="226A5192" w:rsidR="00B15BF8" w:rsidRDefault="00B15BF8" w:rsidP="00D90E94">
            <w:pPr>
              <w:pStyle w:val="ListParagraph"/>
              <w:numPr>
                <w:ilvl w:val="0"/>
                <w:numId w:val="49"/>
              </w:numPr>
              <w:autoSpaceDE w:val="0"/>
              <w:autoSpaceDN w:val="0"/>
              <w:adjustRightInd w:val="0"/>
              <w:jc w:val="both"/>
              <w:rPr>
                <w:rFonts w:ascii="ArialMT" w:hAnsi="ArialMT" w:cs="ArialMT"/>
                <w:szCs w:val="24"/>
                <w:lang w:eastAsia="en-GB"/>
              </w:rPr>
            </w:pPr>
            <w:r w:rsidRPr="00077493">
              <w:rPr>
                <w:rFonts w:ascii="ArialMT" w:hAnsi="ArialMT" w:cs="ArialMT"/>
                <w:szCs w:val="24"/>
                <w:lang w:eastAsia="en-GB"/>
              </w:rPr>
              <w:t xml:space="preserve">Delegate authority to the </w:t>
            </w:r>
            <w:r>
              <w:rPr>
                <w:rFonts w:ascii="ArialMT" w:hAnsi="ArialMT" w:cs="ArialMT"/>
                <w:szCs w:val="24"/>
                <w:lang w:eastAsia="en-GB"/>
              </w:rPr>
              <w:t>Corporate</w:t>
            </w:r>
            <w:r w:rsidRPr="00077493">
              <w:rPr>
                <w:rFonts w:ascii="ArialMT" w:hAnsi="ArialMT" w:cs="ArialMT"/>
                <w:szCs w:val="24"/>
                <w:lang w:eastAsia="en-GB"/>
              </w:rPr>
              <w:t xml:space="preserve"> Director for </w:t>
            </w:r>
            <w:r>
              <w:rPr>
                <w:rFonts w:ascii="ArialMT" w:hAnsi="ArialMT" w:cs="ArialMT"/>
                <w:szCs w:val="24"/>
                <w:lang w:eastAsia="en-GB"/>
              </w:rPr>
              <w:t>Place</w:t>
            </w:r>
            <w:r w:rsidRPr="00077493">
              <w:rPr>
                <w:rFonts w:ascii="ArialMT" w:hAnsi="ArialMT" w:cs="ArialMT"/>
                <w:szCs w:val="24"/>
                <w:lang w:eastAsia="en-GB"/>
              </w:rPr>
              <w:t xml:space="preserve"> to</w:t>
            </w:r>
            <w:r>
              <w:rPr>
                <w:rFonts w:ascii="ArialMT" w:hAnsi="ArialMT" w:cs="ArialMT"/>
                <w:szCs w:val="24"/>
                <w:lang w:eastAsia="en-GB"/>
              </w:rPr>
              <w:t xml:space="preserve"> </w:t>
            </w:r>
            <w:r w:rsidRPr="00077493">
              <w:rPr>
                <w:rFonts w:ascii="ArialMT" w:hAnsi="ArialMT" w:cs="ArialMT"/>
                <w:szCs w:val="24"/>
                <w:lang w:eastAsia="en-GB"/>
              </w:rPr>
              <w:t xml:space="preserve">consider the outcome of the consultation process and </w:t>
            </w:r>
            <w:r>
              <w:rPr>
                <w:rFonts w:ascii="ArialMT" w:hAnsi="ArialMT" w:cs="ArialMT"/>
                <w:szCs w:val="24"/>
                <w:lang w:eastAsia="en-GB"/>
              </w:rPr>
              <w:t xml:space="preserve">subject to the outcome of the </w:t>
            </w:r>
            <w:r w:rsidR="00D90E94">
              <w:rPr>
                <w:rFonts w:ascii="ArialMT" w:hAnsi="ArialMT" w:cs="ArialMT"/>
                <w:szCs w:val="24"/>
                <w:lang w:eastAsia="en-GB"/>
              </w:rPr>
              <w:t>consultation,</w:t>
            </w:r>
            <w:r>
              <w:rPr>
                <w:rFonts w:ascii="ArialMT" w:hAnsi="ArialMT" w:cs="ArialMT"/>
                <w:szCs w:val="24"/>
                <w:lang w:eastAsia="en-GB"/>
              </w:rPr>
              <w:t xml:space="preserve"> </w:t>
            </w:r>
            <w:r w:rsidRPr="00077493">
              <w:rPr>
                <w:rFonts w:ascii="ArialMT" w:hAnsi="ArialMT" w:cs="ArialMT"/>
                <w:szCs w:val="24"/>
                <w:lang w:eastAsia="en-GB"/>
              </w:rPr>
              <w:t>thereafter, apply to the</w:t>
            </w:r>
            <w:r>
              <w:rPr>
                <w:rFonts w:ascii="ArialMT" w:hAnsi="ArialMT" w:cs="ArialMT"/>
                <w:szCs w:val="24"/>
                <w:lang w:eastAsia="en-GB"/>
              </w:rPr>
              <w:t xml:space="preserve"> </w:t>
            </w:r>
            <w:r w:rsidRPr="00077493">
              <w:rPr>
                <w:rFonts w:ascii="ArialMT" w:hAnsi="ArialMT" w:cs="ArialMT"/>
                <w:szCs w:val="24"/>
                <w:lang w:eastAsia="en-GB"/>
              </w:rPr>
              <w:t>Transport and Environment Committee of London Councils to seek approval to</w:t>
            </w:r>
            <w:r>
              <w:rPr>
                <w:rFonts w:ascii="ArialMT" w:hAnsi="ArialMT" w:cs="ArialMT"/>
                <w:szCs w:val="24"/>
                <w:lang w:eastAsia="en-GB"/>
              </w:rPr>
              <w:t xml:space="preserve"> </w:t>
            </w:r>
            <w:r w:rsidRPr="00077493">
              <w:rPr>
                <w:rFonts w:ascii="ArialMT" w:hAnsi="ArialMT" w:cs="ArialMT"/>
                <w:szCs w:val="24"/>
                <w:lang w:eastAsia="en-GB"/>
              </w:rPr>
              <w:t>implement the proposed change to have a borough wide Band A level for penalty</w:t>
            </w:r>
            <w:r>
              <w:rPr>
                <w:rFonts w:ascii="ArialMT" w:hAnsi="ArialMT" w:cs="ArialMT"/>
                <w:szCs w:val="24"/>
                <w:lang w:eastAsia="en-GB"/>
              </w:rPr>
              <w:t xml:space="preserve"> </w:t>
            </w:r>
            <w:r w:rsidRPr="00077493">
              <w:rPr>
                <w:rFonts w:ascii="ArialMT" w:hAnsi="ArialMT" w:cs="ArialMT"/>
                <w:szCs w:val="24"/>
                <w:lang w:eastAsia="en-GB"/>
              </w:rPr>
              <w:t xml:space="preserve">charge notices in the borough of </w:t>
            </w:r>
            <w:r>
              <w:rPr>
                <w:rFonts w:ascii="ArialMT" w:hAnsi="ArialMT" w:cs="ArialMT"/>
                <w:szCs w:val="24"/>
                <w:lang w:eastAsia="en-GB"/>
              </w:rPr>
              <w:t>Harrow</w:t>
            </w:r>
            <w:r w:rsidRPr="00077493">
              <w:rPr>
                <w:rFonts w:ascii="ArialMT" w:hAnsi="ArialMT" w:cs="ArialMT"/>
                <w:szCs w:val="24"/>
                <w:lang w:eastAsia="en-GB"/>
              </w:rPr>
              <w:t xml:space="preserve"> and support any subsequent application for</w:t>
            </w:r>
            <w:r>
              <w:rPr>
                <w:rFonts w:ascii="ArialMT" w:hAnsi="ArialMT" w:cs="ArialMT"/>
                <w:szCs w:val="24"/>
                <w:lang w:eastAsia="en-GB"/>
              </w:rPr>
              <w:t xml:space="preserve"> </w:t>
            </w:r>
            <w:r w:rsidRPr="00077493">
              <w:rPr>
                <w:rFonts w:ascii="ArialMT" w:hAnsi="ArialMT" w:cs="ArialMT"/>
                <w:szCs w:val="24"/>
                <w:lang w:eastAsia="en-GB"/>
              </w:rPr>
              <w:t>approval to the Mayor of London and the Secretary of State for Transport</w:t>
            </w:r>
            <w:r w:rsidR="00D90E94">
              <w:rPr>
                <w:rFonts w:ascii="ArialMT" w:hAnsi="ArialMT" w:cs="ArialMT"/>
                <w:szCs w:val="24"/>
                <w:lang w:eastAsia="en-GB"/>
              </w:rPr>
              <w:t>; and</w:t>
            </w:r>
          </w:p>
          <w:p w14:paraId="00B4A112" w14:textId="77777777" w:rsidR="00D90E94" w:rsidRDefault="00D90E94" w:rsidP="00D90E94">
            <w:pPr>
              <w:pStyle w:val="ListParagraph"/>
              <w:autoSpaceDE w:val="0"/>
              <w:autoSpaceDN w:val="0"/>
              <w:adjustRightInd w:val="0"/>
              <w:jc w:val="both"/>
              <w:rPr>
                <w:rFonts w:ascii="ArialMT" w:hAnsi="ArialMT" w:cs="ArialMT"/>
                <w:szCs w:val="24"/>
                <w:lang w:eastAsia="en-GB"/>
              </w:rPr>
            </w:pPr>
          </w:p>
          <w:p w14:paraId="350208A9" w14:textId="77777777" w:rsidR="00B15BF8" w:rsidRDefault="00B15BF8" w:rsidP="00D90E94">
            <w:pPr>
              <w:pStyle w:val="ListParagraph"/>
              <w:numPr>
                <w:ilvl w:val="0"/>
                <w:numId w:val="49"/>
              </w:numPr>
              <w:autoSpaceDE w:val="0"/>
              <w:autoSpaceDN w:val="0"/>
              <w:adjustRightInd w:val="0"/>
              <w:jc w:val="both"/>
              <w:rPr>
                <w:rFonts w:ascii="ArialMT" w:hAnsi="ArialMT" w:cs="ArialMT"/>
                <w:szCs w:val="24"/>
                <w:lang w:eastAsia="en-GB"/>
              </w:rPr>
            </w:pPr>
            <w:r w:rsidRPr="00077493">
              <w:rPr>
                <w:rFonts w:ascii="ArialMT" w:hAnsi="ArialMT" w:cs="ArialMT"/>
                <w:szCs w:val="24"/>
                <w:lang w:eastAsia="en-GB"/>
              </w:rPr>
              <w:t>Subject to the</w:t>
            </w:r>
            <w:r>
              <w:rPr>
                <w:rFonts w:ascii="ArialMT" w:hAnsi="ArialMT" w:cs="ArialMT"/>
                <w:szCs w:val="24"/>
                <w:lang w:eastAsia="en-GB"/>
              </w:rPr>
              <w:t xml:space="preserve"> outcome of the</w:t>
            </w:r>
            <w:r w:rsidRPr="00077493">
              <w:rPr>
                <w:rFonts w:ascii="ArialMT" w:hAnsi="ArialMT" w:cs="ArialMT"/>
                <w:szCs w:val="24"/>
                <w:lang w:eastAsia="en-GB"/>
              </w:rPr>
              <w:t xml:space="preserve"> consultation and approval process, delegate authority to the </w:t>
            </w:r>
            <w:r>
              <w:rPr>
                <w:rFonts w:ascii="ArialMT" w:hAnsi="ArialMT" w:cs="ArialMT"/>
                <w:szCs w:val="24"/>
                <w:lang w:eastAsia="en-GB"/>
              </w:rPr>
              <w:t>Corporate</w:t>
            </w:r>
            <w:r w:rsidRPr="00077493">
              <w:rPr>
                <w:rFonts w:ascii="ArialMT" w:hAnsi="ArialMT" w:cs="ArialMT"/>
                <w:szCs w:val="24"/>
                <w:lang w:eastAsia="en-GB"/>
              </w:rPr>
              <w:t xml:space="preserve"> Director for </w:t>
            </w:r>
            <w:r>
              <w:rPr>
                <w:rFonts w:ascii="ArialMT" w:hAnsi="ArialMT" w:cs="ArialMT"/>
                <w:szCs w:val="24"/>
                <w:lang w:eastAsia="en-GB"/>
              </w:rPr>
              <w:t>Place</w:t>
            </w:r>
            <w:r w:rsidRPr="00077493">
              <w:rPr>
                <w:rFonts w:ascii="ArialMT" w:hAnsi="ArialMT" w:cs="ArialMT"/>
                <w:szCs w:val="24"/>
                <w:lang w:eastAsia="en-GB"/>
              </w:rPr>
              <w:t xml:space="preserve"> to give effect to the proposed banding</w:t>
            </w:r>
            <w:r>
              <w:rPr>
                <w:rFonts w:ascii="ArialMT" w:hAnsi="ArialMT" w:cs="ArialMT"/>
                <w:szCs w:val="24"/>
                <w:lang w:eastAsia="en-GB"/>
              </w:rPr>
              <w:t xml:space="preserve"> </w:t>
            </w:r>
            <w:r w:rsidRPr="00077493">
              <w:rPr>
                <w:rFonts w:ascii="ArialMT" w:hAnsi="ArialMT" w:cs="ArialMT"/>
                <w:szCs w:val="24"/>
                <w:lang w:eastAsia="en-GB"/>
              </w:rPr>
              <w:t>changes for penalty cha</w:t>
            </w:r>
            <w:r>
              <w:rPr>
                <w:rFonts w:ascii="ArialMT" w:hAnsi="ArialMT" w:cs="ArialMT"/>
                <w:szCs w:val="24"/>
                <w:lang w:eastAsia="en-GB"/>
              </w:rPr>
              <w:t>r</w:t>
            </w:r>
            <w:r w:rsidRPr="00077493">
              <w:rPr>
                <w:rFonts w:ascii="ArialMT" w:hAnsi="ArialMT" w:cs="ArialMT"/>
                <w:szCs w:val="24"/>
                <w:lang w:eastAsia="en-GB"/>
              </w:rPr>
              <w:t xml:space="preserve">ge notices in the borough of </w:t>
            </w:r>
            <w:r>
              <w:rPr>
                <w:rFonts w:ascii="ArialMT" w:hAnsi="ArialMT" w:cs="ArialMT"/>
                <w:szCs w:val="24"/>
                <w:lang w:eastAsia="en-GB"/>
              </w:rPr>
              <w:t>Harrow</w:t>
            </w:r>
            <w:r w:rsidRPr="00077493">
              <w:rPr>
                <w:rFonts w:ascii="ArialMT" w:hAnsi="ArialMT" w:cs="ArialMT"/>
                <w:szCs w:val="24"/>
                <w:lang w:eastAsia="en-GB"/>
              </w:rPr>
              <w:t>, including amending</w:t>
            </w:r>
            <w:r>
              <w:rPr>
                <w:rFonts w:ascii="ArialMT" w:hAnsi="ArialMT" w:cs="ArialMT"/>
                <w:szCs w:val="24"/>
                <w:lang w:eastAsia="en-GB"/>
              </w:rPr>
              <w:t xml:space="preserve"> </w:t>
            </w:r>
            <w:r w:rsidRPr="00077493">
              <w:rPr>
                <w:rFonts w:ascii="ArialMT" w:hAnsi="ArialMT" w:cs="ArialMT"/>
                <w:szCs w:val="24"/>
                <w:lang w:eastAsia="en-GB"/>
              </w:rPr>
              <w:t>current traffic management orders.</w:t>
            </w:r>
          </w:p>
          <w:p w14:paraId="2A131995" w14:textId="77777777" w:rsidR="00B15BF8" w:rsidRPr="00077493" w:rsidRDefault="00B15BF8" w:rsidP="00B15BF8">
            <w:pPr>
              <w:autoSpaceDE w:val="0"/>
              <w:autoSpaceDN w:val="0"/>
              <w:adjustRightInd w:val="0"/>
              <w:jc w:val="both"/>
              <w:rPr>
                <w:rFonts w:ascii="ArialMT" w:hAnsi="ArialMT" w:cs="ArialMT"/>
                <w:szCs w:val="24"/>
                <w:lang w:eastAsia="en-GB"/>
              </w:rPr>
            </w:pPr>
          </w:p>
          <w:p w14:paraId="753582A4" w14:textId="63C80D47" w:rsidR="00B15BF8" w:rsidRDefault="00B15BF8" w:rsidP="00D90E94">
            <w:pPr>
              <w:pStyle w:val="Heading3"/>
              <w:ind w:left="0" w:firstLine="0"/>
            </w:pPr>
            <w:r>
              <w:t>Reason: (f</w:t>
            </w:r>
            <w:r w:rsidRPr="00605A4C">
              <w:t>or recommendations)</w:t>
            </w:r>
            <w:r>
              <w:t xml:space="preserve">  </w:t>
            </w:r>
          </w:p>
          <w:p w14:paraId="20E1B189" w14:textId="77777777" w:rsidR="00B15BF8" w:rsidRDefault="00B15BF8" w:rsidP="00B15BF8">
            <w:pPr>
              <w:autoSpaceDE w:val="0"/>
              <w:autoSpaceDN w:val="0"/>
              <w:adjustRightInd w:val="0"/>
              <w:jc w:val="both"/>
              <w:rPr>
                <w:rFonts w:ascii="ArialMT" w:hAnsi="ArialMT" w:cs="ArialMT"/>
                <w:szCs w:val="24"/>
                <w:lang w:eastAsia="en-GB"/>
              </w:rPr>
            </w:pPr>
            <w:r>
              <w:rPr>
                <w:rFonts w:ascii="ArialMT" w:hAnsi="ArialMT" w:cs="ArialMT"/>
                <w:szCs w:val="24"/>
                <w:lang w:eastAsia="en-GB"/>
              </w:rPr>
              <w:t>There is concern that parking contraventions (as prior to Covid) may continue to increase as commuters switch back to private car use instead of using public transport, following the Covid health emergency, and people return to the office. Implementing the higher value Band, A should provide a greater deterrent for motorists that contravene parking regulations and should improve parking compliance across the borough, in line with surrounding borough charges.</w:t>
            </w:r>
          </w:p>
          <w:p w14:paraId="313BC81E" w14:textId="77777777" w:rsidR="00333FAA" w:rsidRDefault="00333FAA" w:rsidP="00B15BF8">
            <w:pPr>
              <w:pStyle w:val="Heading3"/>
              <w:ind w:left="0" w:firstLine="0"/>
              <w:jc w:val="left"/>
            </w:pPr>
          </w:p>
        </w:tc>
      </w:tr>
    </w:tbl>
    <w:p w14:paraId="0204F38A" w14:textId="77777777" w:rsidR="00333FAA" w:rsidRDefault="00333FAA" w:rsidP="00F06E4E">
      <w:pPr>
        <w:pStyle w:val="Heading2"/>
        <w:spacing w:before="480"/>
      </w:pPr>
      <w:r>
        <w:t>Section 2 – Report</w:t>
      </w:r>
    </w:p>
    <w:p w14:paraId="76168D48" w14:textId="77777777" w:rsidR="001C7E35" w:rsidRDefault="001C7E35" w:rsidP="00F06E4E">
      <w:pPr>
        <w:pStyle w:val="Heading3"/>
        <w:spacing w:before="240"/>
      </w:pPr>
      <w:r>
        <w:t>Introductory paragraph</w:t>
      </w:r>
    </w:p>
    <w:p w14:paraId="6D20DB2B" w14:textId="77777777" w:rsidR="00BE791C" w:rsidRPr="00EE6683" w:rsidRDefault="00BE791C" w:rsidP="00BE791C">
      <w:pPr>
        <w:jc w:val="both"/>
      </w:pPr>
      <w:r w:rsidRPr="005744A4">
        <w:t>This report sets out the required processes and statutory procedures that must be followed to achieve the banding change</w:t>
      </w:r>
      <w:r>
        <w:t>.</w:t>
      </w:r>
    </w:p>
    <w:p w14:paraId="0A078380" w14:textId="612EF372" w:rsidR="00AD1E77" w:rsidRDefault="001C7E35" w:rsidP="00A1211C">
      <w:pPr>
        <w:pStyle w:val="Heading3"/>
        <w:spacing w:before="240"/>
        <w:ind w:left="0" w:firstLine="0"/>
        <w:jc w:val="left"/>
      </w:pPr>
      <w:r>
        <w:t xml:space="preserve">Options considered  </w:t>
      </w:r>
    </w:p>
    <w:p w14:paraId="4A6B79D2" w14:textId="77777777" w:rsidR="000E1E9F" w:rsidRPr="001109EA" w:rsidRDefault="000E1E9F" w:rsidP="000E1E9F">
      <w:pPr>
        <w:jc w:val="both"/>
      </w:pPr>
      <w:r>
        <w:t>To do nothing and leave the PCN Banding as Band B or apply to move the PCN banding to Band A in line with surrounding London boroughs.</w:t>
      </w:r>
    </w:p>
    <w:p w14:paraId="2E33A591" w14:textId="77777777" w:rsidR="00333FAA" w:rsidRPr="00F06E4E" w:rsidRDefault="00333FAA" w:rsidP="00333FAA">
      <w:pPr>
        <w:rPr>
          <w:rFonts w:cs="Arial"/>
          <w:color w:val="0000FF"/>
          <w:sz w:val="28"/>
          <w:szCs w:val="28"/>
        </w:rPr>
      </w:pPr>
    </w:p>
    <w:p w14:paraId="0E637316" w14:textId="07650D16" w:rsidR="00333FAA" w:rsidRDefault="00333FAA" w:rsidP="00333FAA">
      <w:pPr>
        <w:pStyle w:val="Heading2"/>
        <w:rPr>
          <w:rFonts w:ascii="Arial" w:hAnsi="Arial"/>
          <w:sz w:val="28"/>
          <w:szCs w:val="28"/>
        </w:rPr>
      </w:pPr>
      <w:r w:rsidRPr="001559FF">
        <w:rPr>
          <w:rFonts w:ascii="Arial" w:hAnsi="Arial"/>
          <w:sz w:val="28"/>
          <w:szCs w:val="28"/>
        </w:rPr>
        <w:lastRenderedPageBreak/>
        <w:t>Current situation</w:t>
      </w:r>
    </w:p>
    <w:p w14:paraId="4AB3C521" w14:textId="77777777" w:rsidR="001559FF" w:rsidRPr="001559FF" w:rsidRDefault="001559FF" w:rsidP="001559FF"/>
    <w:p w14:paraId="576DB9A6" w14:textId="77777777" w:rsidR="00AC366E" w:rsidRDefault="00AC366E" w:rsidP="00AC366E">
      <w:pPr>
        <w:autoSpaceDE w:val="0"/>
        <w:autoSpaceDN w:val="0"/>
        <w:adjustRightInd w:val="0"/>
        <w:jc w:val="both"/>
        <w:rPr>
          <w:rFonts w:ascii="ArialMT" w:hAnsi="ArialMT" w:cs="ArialMT"/>
          <w:lang w:eastAsia="en-GB"/>
        </w:rPr>
      </w:pPr>
      <w:r>
        <w:rPr>
          <w:rFonts w:ascii="ArialMT" w:hAnsi="ArialMT" w:cs="ArialMT"/>
          <w:lang w:eastAsia="en-GB"/>
        </w:rPr>
        <w:t>Currently, two levels of charging by location operate within Greater London in respect of the value of Parking Penalty Charge Notices:</w:t>
      </w:r>
    </w:p>
    <w:p w14:paraId="277807A6" w14:textId="77777777" w:rsidR="00AC366E" w:rsidRDefault="00AC366E" w:rsidP="00AC366E">
      <w:pPr>
        <w:autoSpaceDE w:val="0"/>
        <w:autoSpaceDN w:val="0"/>
        <w:adjustRightInd w:val="0"/>
        <w:jc w:val="both"/>
        <w:rPr>
          <w:rFonts w:ascii="ArialMT" w:hAnsi="ArialMT" w:cs="ArialMT"/>
          <w:lang w:eastAsia="en-GB"/>
        </w:rPr>
      </w:pPr>
    </w:p>
    <w:p w14:paraId="42CA25D3" w14:textId="77777777" w:rsidR="00AC366E" w:rsidRDefault="00AC366E" w:rsidP="00AC366E">
      <w:pPr>
        <w:autoSpaceDE w:val="0"/>
        <w:autoSpaceDN w:val="0"/>
        <w:adjustRightInd w:val="0"/>
        <w:jc w:val="both"/>
        <w:rPr>
          <w:rFonts w:ascii="ArialMT" w:hAnsi="ArialMT" w:cs="ArialMT"/>
          <w:lang w:eastAsia="en-GB"/>
        </w:rPr>
      </w:pPr>
      <w:r>
        <w:rPr>
          <w:rFonts w:ascii="ArialMT" w:hAnsi="ArialMT" w:cs="ArialMT"/>
          <w:lang w:eastAsia="en-GB"/>
        </w:rPr>
        <w:t>• Band A</w:t>
      </w:r>
    </w:p>
    <w:p w14:paraId="6019E42B" w14:textId="28B44590" w:rsidR="00AC366E" w:rsidRDefault="00AC366E" w:rsidP="00AC366E">
      <w:pPr>
        <w:autoSpaceDE w:val="0"/>
        <w:autoSpaceDN w:val="0"/>
        <w:adjustRightInd w:val="0"/>
        <w:jc w:val="both"/>
        <w:rPr>
          <w:rFonts w:ascii="ArialMT" w:hAnsi="ArialMT" w:cs="ArialMT"/>
          <w:lang w:eastAsia="en-GB"/>
        </w:rPr>
      </w:pPr>
      <w:r>
        <w:rPr>
          <w:rFonts w:ascii="ArialMT" w:hAnsi="ArialMT" w:cs="ArialMT"/>
          <w:lang w:eastAsia="en-GB"/>
        </w:rPr>
        <w:t>• Band B (Harrow)</w:t>
      </w:r>
    </w:p>
    <w:p w14:paraId="26DD69A6" w14:textId="77777777" w:rsidR="00EB3480" w:rsidRDefault="00EB3480" w:rsidP="00AC366E">
      <w:pPr>
        <w:autoSpaceDE w:val="0"/>
        <w:autoSpaceDN w:val="0"/>
        <w:adjustRightInd w:val="0"/>
        <w:jc w:val="both"/>
        <w:rPr>
          <w:rFonts w:ascii="ArialMT" w:hAnsi="ArialMT" w:cs="ArialMT"/>
          <w:lang w:eastAsia="en-GB"/>
        </w:rPr>
      </w:pPr>
    </w:p>
    <w:p w14:paraId="6F4193C4" w14:textId="77777777" w:rsidR="00EB3480" w:rsidRDefault="00EB3480" w:rsidP="00EB3480">
      <w:pPr>
        <w:autoSpaceDE w:val="0"/>
        <w:autoSpaceDN w:val="0"/>
        <w:adjustRightInd w:val="0"/>
        <w:jc w:val="both"/>
        <w:rPr>
          <w:rFonts w:ascii="ArialMT" w:hAnsi="ArialMT" w:cs="ArialMT"/>
          <w:lang w:eastAsia="en-GB"/>
        </w:rPr>
      </w:pPr>
      <w:r>
        <w:rPr>
          <w:rFonts w:ascii="ArialMT" w:hAnsi="ArialMT" w:cs="ArialMT"/>
          <w:lang w:eastAsia="en-GB"/>
        </w:rPr>
        <w:t xml:space="preserve">The Bands apply only to Parking contraventions, as Bus Lane and Moving Traffic contraventions are not subject to banding. </w:t>
      </w:r>
      <w:r w:rsidRPr="00D121A9">
        <w:rPr>
          <w:rFonts w:ascii="ArialMT" w:hAnsi="ArialMT" w:cs="ArialMT"/>
          <w:lang w:eastAsia="en-GB"/>
        </w:rPr>
        <w:t>PCNs are issued at Higher and Lower Levels in both Band A &amp; Band B areas. The</w:t>
      </w:r>
      <w:r>
        <w:rPr>
          <w:rFonts w:ascii="ArialMT" w:hAnsi="ArialMT" w:cs="ArialMT"/>
          <w:lang w:eastAsia="en-GB"/>
        </w:rPr>
        <w:t xml:space="preserve"> </w:t>
      </w:r>
      <w:r w:rsidRPr="00D121A9">
        <w:rPr>
          <w:rFonts w:ascii="ArialMT" w:hAnsi="ArialMT" w:cs="ArialMT"/>
          <w:lang w:eastAsia="en-GB"/>
        </w:rPr>
        <w:t>higher and lower values for both PCN Bands are shown below, with the</w:t>
      </w:r>
      <w:r>
        <w:rPr>
          <w:rFonts w:ascii="ArialMT" w:hAnsi="ArialMT" w:cs="ArialMT"/>
          <w:lang w:eastAsia="en-GB"/>
        </w:rPr>
        <w:t xml:space="preserve"> </w:t>
      </w:r>
      <w:r w:rsidRPr="00D121A9">
        <w:rPr>
          <w:rFonts w:ascii="ArialMT" w:hAnsi="ArialMT" w:cs="ArialMT"/>
          <w:lang w:eastAsia="en-GB"/>
        </w:rPr>
        <w:t>early</w:t>
      </w:r>
      <w:r>
        <w:rPr>
          <w:rFonts w:ascii="ArialMT" w:hAnsi="ArialMT" w:cs="ArialMT"/>
          <w:lang w:eastAsia="en-GB"/>
        </w:rPr>
        <w:t xml:space="preserve"> </w:t>
      </w:r>
      <w:r w:rsidRPr="00D121A9">
        <w:rPr>
          <w:rFonts w:ascii="ArialMT" w:hAnsi="ArialMT" w:cs="ArialMT"/>
          <w:lang w:eastAsia="en-GB"/>
        </w:rPr>
        <w:t>payment</w:t>
      </w:r>
      <w:r>
        <w:rPr>
          <w:rFonts w:ascii="ArialMT" w:hAnsi="ArialMT" w:cs="ArialMT"/>
          <w:lang w:eastAsia="en-GB"/>
        </w:rPr>
        <w:t xml:space="preserve"> </w:t>
      </w:r>
      <w:r w:rsidRPr="00D121A9">
        <w:rPr>
          <w:rFonts w:ascii="ArialMT" w:hAnsi="ArialMT" w:cs="ArialMT"/>
          <w:lang w:eastAsia="en-GB"/>
        </w:rPr>
        <w:t>discount value in brackets.</w:t>
      </w:r>
    </w:p>
    <w:p w14:paraId="41CEB685" w14:textId="77777777" w:rsidR="00EB3480" w:rsidRDefault="00EB3480" w:rsidP="00EB3480">
      <w:pPr>
        <w:autoSpaceDE w:val="0"/>
        <w:autoSpaceDN w:val="0"/>
        <w:adjustRightInd w:val="0"/>
        <w:jc w:val="both"/>
        <w:rPr>
          <w:rFonts w:ascii="ArialMT" w:hAnsi="ArialMT" w:cs="ArialMT"/>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9"/>
      </w:tblGrid>
      <w:tr w:rsidR="00EB3480" w:rsidRPr="00BF1DE8" w14:paraId="66F44B94" w14:textId="77777777" w:rsidTr="00D767C8">
        <w:tc>
          <w:tcPr>
            <w:tcW w:w="5959" w:type="dxa"/>
            <w:shd w:val="clear" w:color="auto" w:fill="auto"/>
          </w:tcPr>
          <w:p w14:paraId="323CF0F2" w14:textId="77777777" w:rsidR="00EB3480" w:rsidRPr="00BF1DE8" w:rsidRDefault="00EB3480" w:rsidP="00D767C8">
            <w:pPr>
              <w:autoSpaceDE w:val="0"/>
              <w:autoSpaceDN w:val="0"/>
              <w:adjustRightInd w:val="0"/>
              <w:jc w:val="both"/>
              <w:rPr>
                <w:rFonts w:ascii="ArialMT" w:hAnsi="ArialMT" w:cs="ArialMT"/>
                <w:lang w:eastAsia="en-GB"/>
              </w:rPr>
            </w:pPr>
            <w:r w:rsidRPr="00BF1DE8">
              <w:rPr>
                <w:rFonts w:ascii="ArialMT" w:hAnsi="ArialMT" w:cs="ArialMT"/>
                <w:lang w:eastAsia="en-GB"/>
              </w:rPr>
              <w:t>PCN Band Level Higher (Discount) Lower (Discount)</w:t>
            </w:r>
          </w:p>
        </w:tc>
      </w:tr>
      <w:tr w:rsidR="00EB3480" w:rsidRPr="00BF1DE8" w14:paraId="53121794" w14:textId="77777777" w:rsidTr="00D767C8">
        <w:tc>
          <w:tcPr>
            <w:tcW w:w="5959" w:type="dxa"/>
            <w:shd w:val="clear" w:color="auto" w:fill="auto"/>
          </w:tcPr>
          <w:p w14:paraId="45045A89" w14:textId="77777777" w:rsidR="00EB3480" w:rsidRPr="00BF1DE8" w:rsidRDefault="00EB3480" w:rsidP="00D767C8">
            <w:pPr>
              <w:autoSpaceDE w:val="0"/>
              <w:autoSpaceDN w:val="0"/>
              <w:adjustRightInd w:val="0"/>
              <w:jc w:val="both"/>
              <w:rPr>
                <w:rFonts w:ascii="ArialMT" w:hAnsi="ArialMT" w:cs="ArialMT"/>
                <w:lang w:eastAsia="en-GB"/>
              </w:rPr>
            </w:pPr>
            <w:r w:rsidRPr="00BF1DE8">
              <w:rPr>
                <w:rFonts w:ascii="ArialMT" w:hAnsi="ArialMT" w:cs="ArialMT"/>
                <w:lang w:eastAsia="en-GB"/>
              </w:rPr>
              <w:t xml:space="preserve">           A         £130         </w:t>
            </w:r>
            <w:proofErr w:type="gramStart"/>
            <w:r w:rsidRPr="00BF1DE8">
              <w:rPr>
                <w:rFonts w:ascii="ArialMT" w:hAnsi="ArialMT" w:cs="ArialMT"/>
                <w:lang w:eastAsia="en-GB"/>
              </w:rPr>
              <w:t xml:space="preserve">   (</w:t>
            </w:r>
            <w:proofErr w:type="gramEnd"/>
            <w:r w:rsidRPr="00BF1DE8">
              <w:rPr>
                <w:rFonts w:ascii="ArialMT" w:hAnsi="ArialMT" w:cs="ArialMT"/>
                <w:lang w:eastAsia="en-GB"/>
              </w:rPr>
              <w:t>£65)       £80       (£40)</w:t>
            </w:r>
          </w:p>
        </w:tc>
      </w:tr>
      <w:tr w:rsidR="00EB3480" w:rsidRPr="00BF1DE8" w14:paraId="69780A90" w14:textId="77777777" w:rsidTr="00D767C8">
        <w:tc>
          <w:tcPr>
            <w:tcW w:w="5959" w:type="dxa"/>
            <w:shd w:val="clear" w:color="auto" w:fill="auto"/>
          </w:tcPr>
          <w:p w14:paraId="781F727D" w14:textId="77777777" w:rsidR="00EB3480" w:rsidRPr="00BF1DE8" w:rsidRDefault="00EB3480" w:rsidP="00D767C8">
            <w:pPr>
              <w:autoSpaceDE w:val="0"/>
              <w:autoSpaceDN w:val="0"/>
              <w:adjustRightInd w:val="0"/>
              <w:jc w:val="both"/>
              <w:rPr>
                <w:rFonts w:ascii="ArialMT" w:hAnsi="ArialMT" w:cs="ArialMT"/>
                <w:lang w:eastAsia="en-GB"/>
              </w:rPr>
            </w:pPr>
            <w:r w:rsidRPr="00BF1DE8">
              <w:rPr>
                <w:rFonts w:ascii="ArialMT" w:hAnsi="ArialMT" w:cs="ArialMT"/>
                <w:lang w:eastAsia="en-GB"/>
              </w:rPr>
              <w:t xml:space="preserve">           B         £110         </w:t>
            </w:r>
            <w:proofErr w:type="gramStart"/>
            <w:r w:rsidRPr="00BF1DE8">
              <w:rPr>
                <w:rFonts w:ascii="ArialMT" w:hAnsi="ArialMT" w:cs="ArialMT"/>
                <w:lang w:eastAsia="en-GB"/>
              </w:rPr>
              <w:t xml:space="preserve">   (</w:t>
            </w:r>
            <w:proofErr w:type="gramEnd"/>
            <w:r w:rsidRPr="00BF1DE8">
              <w:rPr>
                <w:rFonts w:ascii="ArialMT" w:hAnsi="ArialMT" w:cs="ArialMT"/>
                <w:lang w:eastAsia="en-GB"/>
              </w:rPr>
              <w:t>£55)       £60       (£30)</w:t>
            </w:r>
          </w:p>
        </w:tc>
      </w:tr>
    </w:tbl>
    <w:p w14:paraId="3D3A188B" w14:textId="77777777" w:rsidR="00EB3480" w:rsidRDefault="00EB3480" w:rsidP="00EB3480">
      <w:pPr>
        <w:autoSpaceDE w:val="0"/>
        <w:autoSpaceDN w:val="0"/>
        <w:adjustRightInd w:val="0"/>
        <w:jc w:val="both"/>
        <w:rPr>
          <w:rFonts w:ascii="ArialMT" w:hAnsi="ArialMT" w:cs="ArialMT"/>
          <w:lang w:eastAsia="en-GB"/>
        </w:rPr>
      </w:pPr>
    </w:p>
    <w:p w14:paraId="78CC6B5A" w14:textId="77777777" w:rsidR="00EB3480" w:rsidRDefault="00EB3480" w:rsidP="00EB3480">
      <w:pPr>
        <w:autoSpaceDE w:val="0"/>
        <w:autoSpaceDN w:val="0"/>
        <w:adjustRightInd w:val="0"/>
        <w:jc w:val="both"/>
        <w:rPr>
          <w:rFonts w:ascii="ArialMT" w:hAnsi="ArialMT" w:cs="ArialMT"/>
          <w:lang w:eastAsia="en-GB"/>
        </w:rPr>
      </w:pPr>
      <w:r>
        <w:rPr>
          <w:rFonts w:ascii="ArialMT" w:hAnsi="ArialMT" w:cs="ArialMT"/>
          <w:lang w:eastAsia="en-GB"/>
        </w:rPr>
        <w:t>PCN charge rates are set unilaterally by the Secretary of State for Transport and have not changed since 2010, despite inflation eroding the deterrent effect of the charges. There is no indication that the Secretary of State will review PCN values in the foreseeable future.</w:t>
      </w:r>
    </w:p>
    <w:p w14:paraId="553F5A40" w14:textId="77777777" w:rsidR="00EB3480" w:rsidRDefault="00EB3480" w:rsidP="00EB3480">
      <w:pPr>
        <w:autoSpaceDE w:val="0"/>
        <w:autoSpaceDN w:val="0"/>
        <w:adjustRightInd w:val="0"/>
        <w:jc w:val="both"/>
        <w:rPr>
          <w:rFonts w:ascii="ArialMT" w:hAnsi="ArialMT" w:cs="ArialMT"/>
          <w:lang w:eastAsia="en-GB"/>
        </w:rPr>
      </w:pPr>
    </w:p>
    <w:p w14:paraId="7A761B25" w14:textId="77777777" w:rsidR="00EB3480" w:rsidRDefault="00EB3480" w:rsidP="00EB3480">
      <w:pPr>
        <w:autoSpaceDE w:val="0"/>
        <w:autoSpaceDN w:val="0"/>
        <w:adjustRightInd w:val="0"/>
        <w:jc w:val="both"/>
        <w:rPr>
          <w:rFonts w:ascii="ArialMT" w:hAnsi="ArialMT" w:cs="ArialMT"/>
          <w:lang w:eastAsia="en-GB"/>
        </w:rPr>
      </w:pPr>
      <w:r>
        <w:rPr>
          <w:rFonts w:ascii="ArialMT" w:hAnsi="ArialMT" w:cs="ArialMT"/>
          <w:lang w:eastAsia="en-GB"/>
        </w:rPr>
        <w:t>The two Bands were originally linked to ‘inner’ and ‘outer’ London. Most inner London boroughs (Camden, Westminster, Hammersmith &amp; Fulham, Kensington &amp; Chelsea) are already at the Band A level across their entire area. The following nearby outer London Boroughs have already moved or have proposals to move to Band A lodged with London Councils on moving their whole boroughs to the Band A level:</w:t>
      </w:r>
    </w:p>
    <w:p w14:paraId="1FFC48BD" w14:textId="77777777" w:rsidR="00EB3480" w:rsidRDefault="00EB3480" w:rsidP="00EB3480">
      <w:pPr>
        <w:autoSpaceDE w:val="0"/>
        <w:autoSpaceDN w:val="0"/>
        <w:adjustRightInd w:val="0"/>
        <w:jc w:val="both"/>
        <w:rPr>
          <w:rFonts w:ascii="ArialMT" w:hAnsi="ArialMT" w:cs="ArialMT"/>
          <w:lang w:eastAsia="en-GB"/>
        </w:rPr>
      </w:pPr>
    </w:p>
    <w:p w14:paraId="2C7F3C86" w14:textId="77777777" w:rsidR="00EB3480" w:rsidRDefault="00EB3480" w:rsidP="00EB3480">
      <w:pPr>
        <w:autoSpaceDE w:val="0"/>
        <w:autoSpaceDN w:val="0"/>
        <w:adjustRightInd w:val="0"/>
        <w:jc w:val="both"/>
        <w:rPr>
          <w:rFonts w:ascii="ArialMT" w:hAnsi="ArialMT" w:cs="ArialMT"/>
          <w:lang w:eastAsia="en-GB"/>
        </w:rPr>
      </w:pPr>
      <w:r>
        <w:rPr>
          <w:rFonts w:ascii="ArialMT" w:hAnsi="ArialMT" w:cs="ArialMT"/>
          <w:lang w:eastAsia="en-GB"/>
        </w:rPr>
        <w:t>• London Borough of Barnet</w:t>
      </w:r>
    </w:p>
    <w:p w14:paraId="2841AD8F" w14:textId="77777777" w:rsidR="00EB3480" w:rsidRDefault="00EB3480" w:rsidP="00EB3480">
      <w:pPr>
        <w:autoSpaceDE w:val="0"/>
        <w:autoSpaceDN w:val="0"/>
        <w:adjustRightInd w:val="0"/>
        <w:jc w:val="both"/>
        <w:rPr>
          <w:rFonts w:ascii="ArialMT" w:hAnsi="ArialMT" w:cs="ArialMT"/>
          <w:lang w:eastAsia="en-GB"/>
        </w:rPr>
      </w:pPr>
      <w:r>
        <w:rPr>
          <w:rFonts w:ascii="ArialMT" w:hAnsi="ArialMT" w:cs="ArialMT"/>
          <w:lang w:eastAsia="en-GB"/>
        </w:rPr>
        <w:t>• London Borough of Ealing</w:t>
      </w:r>
    </w:p>
    <w:p w14:paraId="7AAC085C" w14:textId="77777777" w:rsidR="00EB3480" w:rsidRDefault="00EB3480" w:rsidP="00EB3480">
      <w:pPr>
        <w:autoSpaceDE w:val="0"/>
        <w:autoSpaceDN w:val="0"/>
        <w:adjustRightInd w:val="0"/>
        <w:jc w:val="both"/>
        <w:rPr>
          <w:rFonts w:ascii="ArialMT" w:hAnsi="ArialMT" w:cs="ArialMT"/>
          <w:lang w:eastAsia="en-GB"/>
        </w:rPr>
      </w:pPr>
      <w:r>
        <w:rPr>
          <w:rFonts w:ascii="ArialMT" w:hAnsi="ArialMT" w:cs="ArialMT"/>
          <w:lang w:eastAsia="en-GB"/>
        </w:rPr>
        <w:t>• London Borough of Hounslow</w:t>
      </w:r>
    </w:p>
    <w:p w14:paraId="34C9A137" w14:textId="77777777" w:rsidR="00EB3480" w:rsidRDefault="00EB3480" w:rsidP="00EB3480">
      <w:pPr>
        <w:autoSpaceDE w:val="0"/>
        <w:autoSpaceDN w:val="0"/>
        <w:adjustRightInd w:val="0"/>
        <w:jc w:val="both"/>
        <w:rPr>
          <w:rFonts w:ascii="ArialMT" w:hAnsi="ArialMT" w:cs="ArialMT"/>
          <w:lang w:eastAsia="en-GB"/>
        </w:rPr>
      </w:pPr>
      <w:r w:rsidRPr="00D15EAF">
        <w:rPr>
          <w:rFonts w:ascii="ArialMT" w:hAnsi="ArialMT" w:cs="ArialMT"/>
          <w:lang w:eastAsia="en-GB"/>
        </w:rPr>
        <w:t>• London Borough of B</w:t>
      </w:r>
      <w:r>
        <w:rPr>
          <w:rFonts w:ascii="ArialMT" w:hAnsi="ArialMT" w:cs="ArialMT"/>
          <w:lang w:eastAsia="en-GB"/>
        </w:rPr>
        <w:t>rent</w:t>
      </w:r>
    </w:p>
    <w:p w14:paraId="1842CA71" w14:textId="77777777" w:rsidR="00333FAA" w:rsidRPr="00F06E4E" w:rsidRDefault="00333FAA" w:rsidP="00333FAA">
      <w:pPr>
        <w:rPr>
          <w:rFonts w:cs="Arial"/>
          <w:color w:val="0000FF"/>
          <w:sz w:val="28"/>
          <w:szCs w:val="28"/>
        </w:rPr>
      </w:pPr>
    </w:p>
    <w:p w14:paraId="555D1469" w14:textId="0B8EC07D" w:rsidR="00333FAA" w:rsidRPr="001559FF" w:rsidRDefault="00333FAA" w:rsidP="00333FAA">
      <w:pPr>
        <w:pStyle w:val="Heading2"/>
        <w:rPr>
          <w:rFonts w:ascii="Arial" w:hAnsi="Arial"/>
          <w:sz w:val="28"/>
          <w:szCs w:val="28"/>
        </w:rPr>
      </w:pPr>
      <w:r w:rsidRPr="001559FF">
        <w:rPr>
          <w:rFonts w:ascii="Arial" w:hAnsi="Arial"/>
          <w:sz w:val="28"/>
          <w:szCs w:val="28"/>
        </w:rPr>
        <w:t>Why a change is needed</w:t>
      </w:r>
    </w:p>
    <w:p w14:paraId="7E7B43B6" w14:textId="1897F69A" w:rsidR="00EB3480" w:rsidRDefault="00EB3480" w:rsidP="00EB3480"/>
    <w:p w14:paraId="51AE253B" w14:textId="77777777" w:rsidR="001559FF" w:rsidRPr="00990983" w:rsidRDefault="001559FF" w:rsidP="001559FF">
      <w:pPr>
        <w:autoSpaceDE w:val="0"/>
        <w:autoSpaceDN w:val="0"/>
        <w:adjustRightInd w:val="0"/>
        <w:jc w:val="both"/>
        <w:rPr>
          <w:rFonts w:ascii="ArialMT" w:hAnsi="ArialMT" w:cs="ArialMT"/>
          <w:lang w:eastAsia="en-GB"/>
        </w:rPr>
      </w:pPr>
      <w:r>
        <w:rPr>
          <w:rFonts w:ascii="ArialMT" w:hAnsi="ArialMT" w:cs="ArialMT"/>
          <w:lang w:eastAsia="en-GB"/>
        </w:rPr>
        <w:t xml:space="preserve">To provide a greater deterrent to the motorists, and if all comparable boroughs do move to Band A, then Harrow would be out of step with its neighbours and there could be a perception that parking contraventions are perceived as less of an issue in Harrow. </w:t>
      </w:r>
    </w:p>
    <w:p w14:paraId="6EE4E54C" w14:textId="77777777" w:rsidR="00333FAA" w:rsidRPr="00F06E4E" w:rsidRDefault="00333FAA" w:rsidP="00333FAA">
      <w:pPr>
        <w:rPr>
          <w:rFonts w:cs="Arial"/>
          <w:color w:val="0000FF"/>
          <w:sz w:val="28"/>
          <w:szCs w:val="28"/>
        </w:rPr>
      </w:pPr>
    </w:p>
    <w:p w14:paraId="5E3D76B0" w14:textId="3038D82E" w:rsidR="00333FAA" w:rsidRDefault="00333FAA" w:rsidP="00333FAA">
      <w:pPr>
        <w:pStyle w:val="Heading2"/>
        <w:rPr>
          <w:rFonts w:ascii="Arial" w:hAnsi="Arial"/>
          <w:sz w:val="28"/>
          <w:szCs w:val="28"/>
        </w:rPr>
      </w:pPr>
      <w:r w:rsidRPr="001559FF">
        <w:rPr>
          <w:rFonts w:ascii="Arial" w:hAnsi="Arial"/>
          <w:sz w:val="28"/>
          <w:szCs w:val="28"/>
        </w:rPr>
        <w:t>Implications of the Recommendation</w:t>
      </w:r>
    </w:p>
    <w:p w14:paraId="0FCA38A7" w14:textId="5BEC0D46" w:rsidR="001559FF" w:rsidRDefault="001559FF" w:rsidP="001559FF"/>
    <w:p w14:paraId="40344A98" w14:textId="77777777" w:rsidR="002A671B" w:rsidRDefault="002A671B" w:rsidP="002A671B">
      <w:pPr>
        <w:autoSpaceDE w:val="0"/>
        <w:autoSpaceDN w:val="0"/>
        <w:adjustRightInd w:val="0"/>
        <w:jc w:val="both"/>
        <w:rPr>
          <w:rFonts w:ascii="ArialMT" w:hAnsi="ArialMT" w:cs="ArialMT"/>
          <w:lang w:eastAsia="en-GB"/>
        </w:rPr>
      </w:pPr>
      <w:r w:rsidRPr="007C5B5A">
        <w:rPr>
          <w:rFonts w:ascii="ArialMT" w:hAnsi="ArialMT" w:cs="ArialMT"/>
          <w:lang w:eastAsia="en-GB"/>
        </w:rPr>
        <w:t xml:space="preserve">The net increase in parking PCN issuance in Harrow </w:t>
      </w:r>
      <w:r>
        <w:rPr>
          <w:rFonts w:ascii="ArialMT" w:hAnsi="ArialMT" w:cs="ArialMT"/>
          <w:lang w:eastAsia="en-GB"/>
        </w:rPr>
        <w:t xml:space="preserve">prior to Covid </w:t>
      </w:r>
      <w:r w:rsidRPr="007C5B5A">
        <w:rPr>
          <w:rFonts w:ascii="ArialMT" w:hAnsi="ArialMT" w:cs="ArialMT"/>
          <w:lang w:eastAsia="en-GB"/>
        </w:rPr>
        <w:t xml:space="preserve">may in part be attributable to better detection techniques and greater enforcement efficiency. However, a portion of the growth in PCN issuance is likely to be due to the penalty for </w:t>
      </w:r>
      <w:r>
        <w:rPr>
          <w:rFonts w:ascii="ArialMT" w:hAnsi="ArialMT" w:cs="ArialMT"/>
          <w:lang w:eastAsia="en-GB"/>
        </w:rPr>
        <w:t>contravening</w:t>
      </w:r>
      <w:r w:rsidRPr="007C5B5A">
        <w:rPr>
          <w:rFonts w:ascii="ArialMT" w:hAnsi="ArialMT" w:cs="ArialMT"/>
          <w:lang w:eastAsia="en-GB"/>
        </w:rPr>
        <w:t xml:space="preserve"> in Band B locations simply not having the same deterrent effect as it did in 2011</w:t>
      </w:r>
      <w:r>
        <w:rPr>
          <w:rFonts w:ascii="ArialMT" w:hAnsi="ArialMT" w:cs="ArialMT"/>
          <w:lang w:eastAsia="en-GB"/>
        </w:rPr>
        <w:t>.</w:t>
      </w:r>
    </w:p>
    <w:p w14:paraId="311E6FBA" w14:textId="77777777" w:rsidR="002A671B" w:rsidRDefault="002A671B" w:rsidP="002A671B">
      <w:pPr>
        <w:jc w:val="both"/>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8"/>
        <w:gridCol w:w="1138"/>
        <w:gridCol w:w="1137"/>
        <w:gridCol w:w="1137"/>
        <w:gridCol w:w="1137"/>
        <w:gridCol w:w="1398"/>
        <w:gridCol w:w="1214"/>
      </w:tblGrid>
      <w:tr w:rsidR="002A671B" w:rsidRPr="00BF1DE8" w14:paraId="545382A1" w14:textId="77777777" w:rsidTr="00D767C8">
        <w:tc>
          <w:tcPr>
            <w:tcW w:w="1164" w:type="dxa"/>
            <w:shd w:val="clear" w:color="auto" w:fill="auto"/>
          </w:tcPr>
          <w:p w14:paraId="77B1097C" w14:textId="77777777" w:rsidR="002A671B" w:rsidRPr="00BF1DE8" w:rsidRDefault="002A671B" w:rsidP="00D767C8">
            <w:pPr>
              <w:jc w:val="both"/>
              <w:rPr>
                <w:rFonts w:cs="Arial"/>
              </w:rPr>
            </w:pPr>
            <w:r w:rsidRPr="00BF1DE8">
              <w:rPr>
                <w:rFonts w:ascii="ArialMT" w:hAnsi="ArialMT" w:cs="ArialMT"/>
                <w:lang w:eastAsia="en-GB"/>
              </w:rPr>
              <w:lastRenderedPageBreak/>
              <w:t>PCNs for 2015/16</w:t>
            </w:r>
          </w:p>
        </w:tc>
        <w:tc>
          <w:tcPr>
            <w:tcW w:w="1164" w:type="dxa"/>
            <w:shd w:val="clear" w:color="auto" w:fill="auto"/>
          </w:tcPr>
          <w:p w14:paraId="5DC5CEDC" w14:textId="77777777" w:rsidR="002A671B" w:rsidRPr="00BF1DE8" w:rsidRDefault="002A671B" w:rsidP="00D767C8">
            <w:pPr>
              <w:jc w:val="both"/>
              <w:rPr>
                <w:rFonts w:cs="Arial"/>
              </w:rPr>
            </w:pPr>
            <w:r w:rsidRPr="00BF1DE8">
              <w:rPr>
                <w:rFonts w:ascii="ArialMT" w:hAnsi="ArialMT" w:cs="ArialMT"/>
                <w:lang w:eastAsia="en-GB"/>
              </w:rPr>
              <w:t>PCNs for 2016/17</w:t>
            </w:r>
          </w:p>
        </w:tc>
        <w:tc>
          <w:tcPr>
            <w:tcW w:w="1163" w:type="dxa"/>
            <w:shd w:val="clear" w:color="auto" w:fill="auto"/>
          </w:tcPr>
          <w:p w14:paraId="089DAEA8" w14:textId="77777777" w:rsidR="002A671B" w:rsidRPr="00BF1DE8" w:rsidRDefault="002A671B" w:rsidP="00D767C8">
            <w:pPr>
              <w:jc w:val="both"/>
              <w:rPr>
                <w:rFonts w:cs="Arial"/>
              </w:rPr>
            </w:pPr>
            <w:r w:rsidRPr="00BF1DE8">
              <w:rPr>
                <w:rFonts w:ascii="ArialMT" w:hAnsi="ArialMT" w:cs="ArialMT"/>
                <w:lang w:eastAsia="en-GB"/>
              </w:rPr>
              <w:t>PCNs for 2017/18</w:t>
            </w:r>
          </w:p>
        </w:tc>
        <w:tc>
          <w:tcPr>
            <w:tcW w:w="1163" w:type="dxa"/>
            <w:shd w:val="clear" w:color="auto" w:fill="auto"/>
          </w:tcPr>
          <w:p w14:paraId="2442299E" w14:textId="77777777" w:rsidR="002A671B" w:rsidRPr="00BF1DE8" w:rsidRDefault="002A671B" w:rsidP="00D767C8">
            <w:pPr>
              <w:jc w:val="both"/>
              <w:rPr>
                <w:rFonts w:cs="Arial"/>
              </w:rPr>
            </w:pPr>
            <w:r w:rsidRPr="00BF1DE8">
              <w:rPr>
                <w:rFonts w:ascii="ArialMT" w:hAnsi="ArialMT" w:cs="ArialMT"/>
                <w:lang w:eastAsia="en-GB"/>
              </w:rPr>
              <w:t>PCNs for 2018/19</w:t>
            </w:r>
          </w:p>
        </w:tc>
        <w:tc>
          <w:tcPr>
            <w:tcW w:w="1163" w:type="dxa"/>
            <w:shd w:val="clear" w:color="auto" w:fill="auto"/>
          </w:tcPr>
          <w:p w14:paraId="194349EC" w14:textId="77777777" w:rsidR="002A671B" w:rsidRPr="00BF1DE8" w:rsidRDefault="002A671B" w:rsidP="00D767C8">
            <w:pPr>
              <w:jc w:val="both"/>
              <w:rPr>
                <w:rFonts w:cs="Arial"/>
              </w:rPr>
            </w:pPr>
            <w:r w:rsidRPr="00BF1DE8">
              <w:rPr>
                <w:rFonts w:ascii="ArialMT" w:hAnsi="ArialMT" w:cs="ArialMT"/>
                <w:lang w:eastAsia="en-GB"/>
              </w:rPr>
              <w:t>PCNs for 2019/20</w:t>
            </w:r>
          </w:p>
        </w:tc>
        <w:tc>
          <w:tcPr>
            <w:tcW w:w="1549" w:type="dxa"/>
            <w:shd w:val="clear" w:color="auto" w:fill="auto"/>
          </w:tcPr>
          <w:p w14:paraId="4577AD10" w14:textId="77777777" w:rsidR="002A671B" w:rsidRDefault="002A671B" w:rsidP="00D767C8">
            <w:pPr>
              <w:jc w:val="both"/>
              <w:rPr>
                <w:rFonts w:ascii="ArialMT" w:hAnsi="ArialMT" w:cs="ArialMT"/>
                <w:lang w:eastAsia="en-GB"/>
              </w:rPr>
            </w:pPr>
            <w:r w:rsidRPr="00BF1DE8">
              <w:rPr>
                <w:rFonts w:ascii="ArialMT" w:hAnsi="ArialMT" w:cs="ArialMT"/>
                <w:lang w:eastAsia="en-GB"/>
              </w:rPr>
              <w:t xml:space="preserve">PCNs </w:t>
            </w:r>
          </w:p>
          <w:p w14:paraId="1B371FD9" w14:textId="77777777" w:rsidR="002A671B" w:rsidRDefault="002A671B" w:rsidP="00D767C8">
            <w:pPr>
              <w:jc w:val="both"/>
              <w:rPr>
                <w:rFonts w:ascii="ArialMT" w:hAnsi="ArialMT" w:cs="ArialMT"/>
                <w:lang w:eastAsia="en-GB"/>
              </w:rPr>
            </w:pPr>
            <w:r w:rsidRPr="00BF1DE8">
              <w:rPr>
                <w:rFonts w:ascii="ArialMT" w:hAnsi="ArialMT" w:cs="ArialMT"/>
                <w:lang w:eastAsia="en-GB"/>
              </w:rPr>
              <w:t xml:space="preserve">for </w:t>
            </w:r>
          </w:p>
          <w:p w14:paraId="2CCD83ED" w14:textId="77777777" w:rsidR="002A671B" w:rsidRPr="00BF1DE8" w:rsidRDefault="002A671B" w:rsidP="00D767C8">
            <w:pPr>
              <w:jc w:val="both"/>
              <w:rPr>
                <w:rFonts w:cs="Arial"/>
              </w:rPr>
            </w:pPr>
            <w:r w:rsidRPr="00BF1DE8">
              <w:rPr>
                <w:rFonts w:ascii="ArialMT" w:hAnsi="ArialMT" w:cs="ArialMT"/>
                <w:lang w:eastAsia="en-GB"/>
              </w:rPr>
              <w:t>2020/21</w:t>
            </w:r>
          </w:p>
        </w:tc>
        <w:tc>
          <w:tcPr>
            <w:tcW w:w="1276" w:type="dxa"/>
            <w:shd w:val="clear" w:color="auto" w:fill="auto"/>
          </w:tcPr>
          <w:p w14:paraId="634AE87F" w14:textId="77777777" w:rsidR="002A671B" w:rsidRDefault="002A671B" w:rsidP="00D767C8">
            <w:pPr>
              <w:jc w:val="both"/>
              <w:rPr>
                <w:rFonts w:ascii="ArialMT" w:hAnsi="ArialMT" w:cs="ArialMT"/>
                <w:lang w:eastAsia="en-GB"/>
              </w:rPr>
            </w:pPr>
            <w:r w:rsidRPr="00BF1DE8">
              <w:rPr>
                <w:rFonts w:ascii="ArialMT" w:hAnsi="ArialMT" w:cs="ArialMT"/>
                <w:lang w:eastAsia="en-GB"/>
              </w:rPr>
              <w:t xml:space="preserve">PCNs </w:t>
            </w:r>
          </w:p>
          <w:p w14:paraId="4BC64254" w14:textId="77777777" w:rsidR="002A671B" w:rsidRDefault="002A671B" w:rsidP="00D767C8">
            <w:pPr>
              <w:jc w:val="both"/>
              <w:rPr>
                <w:rFonts w:ascii="ArialMT" w:hAnsi="ArialMT" w:cs="ArialMT"/>
                <w:lang w:eastAsia="en-GB"/>
              </w:rPr>
            </w:pPr>
            <w:r w:rsidRPr="00BF1DE8">
              <w:rPr>
                <w:rFonts w:ascii="ArialMT" w:hAnsi="ArialMT" w:cs="ArialMT"/>
                <w:lang w:eastAsia="en-GB"/>
              </w:rPr>
              <w:t xml:space="preserve">for </w:t>
            </w:r>
          </w:p>
          <w:p w14:paraId="0FEB6377" w14:textId="77777777" w:rsidR="002A671B" w:rsidRPr="00BF1DE8" w:rsidRDefault="002A671B" w:rsidP="00D767C8">
            <w:pPr>
              <w:jc w:val="both"/>
              <w:rPr>
                <w:rFonts w:cs="Arial"/>
              </w:rPr>
            </w:pPr>
            <w:r w:rsidRPr="00BF1DE8">
              <w:rPr>
                <w:rFonts w:ascii="ArialMT" w:hAnsi="ArialMT" w:cs="ArialMT"/>
                <w:lang w:eastAsia="en-GB"/>
              </w:rPr>
              <w:t>2021/22</w:t>
            </w:r>
          </w:p>
        </w:tc>
      </w:tr>
      <w:tr w:rsidR="002A671B" w:rsidRPr="00BF1DE8" w14:paraId="77FB6FC6" w14:textId="77777777" w:rsidTr="00D767C8">
        <w:tc>
          <w:tcPr>
            <w:tcW w:w="1164" w:type="dxa"/>
            <w:shd w:val="clear" w:color="auto" w:fill="auto"/>
          </w:tcPr>
          <w:p w14:paraId="22C72F62" w14:textId="77777777" w:rsidR="002A671B" w:rsidRPr="00BF1DE8" w:rsidRDefault="002A671B" w:rsidP="00D767C8">
            <w:pPr>
              <w:jc w:val="both"/>
              <w:rPr>
                <w:rFonts w:cs="Arial"/>
              </w:rPr>
            </w:pPr>
            <w:r>
              <w:rPr>
                <w:rFonts w:cs="Arial"/>
              </w:rPr>
              <w:t>158,539</w:t>
            </w:r>
          </w:p>
        </w:tc>
        <w:tc>
          <w:tcPr>
            <w:tcW w:w="1164" w:type="dxa"/>
            <w:shd w:val="clear" w:color="auto" w:fill="auto"/>
          </w:tcPr>
          <w:p w14:paraId="4E7194B9" w14:textId="77777777" w:rsidR="002A671B" w:rsidRPr="00BF1DE8" w:rsidRDefault="002A671B" w:rsidP="00D767C8">
            <w:pPr>
              <w:jc w:val="both"/>
              <w:rPr>
                <w:rFonts w:cs="Arial"/>
              </w:rPr>
            </w:pPr>
            <w:r>
              <w:rPr>
                <w:rFonts w:cs="Arial"/>
              </w:rPr>
              <w:t>165,555</w:t>
            </w:r>
          </w:p>
        </w:tc>
        <w:tc>
          <w:tcPr>
            <w:tcW w:w="1163" w:type="dxa"/>
            <w:shd w:val="clear" w:color="auto" w:fill="auto"/>
          </w:tcPr>
          <w:p w14:paraId="76635A0A" w14:textId="77777777" w:rsidR="002A671B" w:rsidRPr="00BF1DE8" w:rsidRDefault="002A671B" w:rsidP="00D767C8">
            <w:pPr>
              <w:jc w:val="both"/>
              <w:rPr>
                <w:rFonts w:cs="Arial"/>
              </w:rPr>
            </w:pPr>
            <w:r>
              <w:rPr>
                <w:rFonts w:cs="Arial"/>
              </w:rPr>
              <w:t>168,062</w:t>
            </w:r>
          </w:p>
        </w:tc>
        <w:tc>
          <w:tcPr>
            <w:tcW w:w="1163" w:type="dxa"/>
            <w:shd w:val="clear" w:color="auto" w:fill="auto"/>
          </w:tcPr>
          <w:p w14:paraId="5C8233DB" w14:textId="77777777" w:rsidR="002A671B" w:rsidRPr="00BF1DE8" w:rsidRDefault="002A671B" w:rsidP="00D767C8">
            <w:pPr>
              <w:jc w:val="both"/>
              <w:rPr>
                <w:rFonts w:cs="Arial"/>
              </w:rPr>
            </w:pPr>
            <w:r>
              <w:rPr>
                <w:rFonts w:cs="Arial"/>
              </w:rPr>
              <w:t>184,616</w:t>
            </w:r>
          </w:p>
        </w:tc>
        <w:tc>
          <w:tcPr>
            <w:tcW w:w="1163" w:type="dxa"/>
            <w:shd w:val="clear" w:color="auto" w:fill="auto"/>
          </w:tcPr>
          <w:p w14:paraId="0A0C4D13" w14:textId="77777777" w:rsidR="002A671B" w:rsidRPr="00BF1DE8" w:rsidRDefault="002A671B" w:rsidP="00D767C8">
            <w:pPr>
              <w:jc w:val="both"/>
              <w:rPr>
                <w:rFonts w:cs="Arial"/>
              </w:rPr>
            </w:pPr>
            <w:r>
              <w:rPr>
                <w:rFonts w:cs="Arial"/>
              </w:rPr>
              <w:t>171,941</w:t>
            </w:r>
          </w:p>
        </w:tc>
        <w:tc>
          <w:tcPr>
            <w:tcW w:w="1549" w:type="dxa"/>
            <w:shd w:val="clear" w:color="auto" w:fill="auto"/>
          </w:tcPr>
          <w:p w14:paraId="14F596B1" w14:textId="77777777" w:rsidR="002A671B" w:rsidRPr="00BF1DE8" w:rsidRDefault="002A671B" w:rsidP="00D767C8">
            <w:pPr>
              <w:jc w:val="both"/>
              <w:rPr>
                <w:rFonts w:cs="Arial"/>
              </w:rPr>
            </w:pPr>
            <w:r>
              <w:rPr>
                <w:rFonts w:cs="Arial"/>
              </w:rPr>
              <w:t>112,821</w:t>
            </w:r>
          </w:p>
        </w:tc>
        <w:tc>
          <w:tcPr>
            <w:tcW w:w="1276" w:type="dxa"/>
            <w:shd w:val="clear" w:color="auto" w:fill="auto"/>
          </w:tcPr>
          <w:p w14:paraId="2CA2AE0A" w14:textId="77777777" w:rsidR="002A671B" w:rsidRPr="00BF1DE8" w:rsidRDefault="002A671B" w:rsidP="00D767C8">
            <w:pPr>
              <w:jc w:val="both"/>
              <w:rPr>
                <w:rFonts w:cs="Arial"/>
              </w:rPr>
            </w:pPr>
            <w:r>
              <w:rPr>
                <w:rFonts w:cs="Arial"/>
              </w:rPr>
              <w:t>157,052</w:t>
            </w:r>
          </w:p>
        </w:tc>
      </w:tr>
      <w:tr w:rsidR="002A671B" w:rsidRPr="00BF1DE8" w14:paraId="7335D1EE" w14:textId="77777777" w:rsidTr="00D767C8">
        <w:tc>
          <w:tcPr>
            <w:tcW w:w="1164" w:type="dxa"/>
            <w:shd w:val="clear" w:color="auto" w:fill="auto"/>
          </w:tcPr>
          <w:p w14:paraId="03FBFD56" w14:textId="77777777" w:rsidR="002A671B" w:rsidRPr="00BF1DE8" w:rsidRDefault="002A671B" w:rsidP="00D767C8">
            <w:pPr>
              <w:jc w:val="both"/>
              <w:rPr>
                <w:rFonts w:cs="Arial"/>
              </w:rPr>
            </w:pPr>
          </w:p>
        </w:tc>
        <w:tc>
          <w:tcPr>
            <w:tcW w:w="1164" w:type="dxa"/>
            <w:shd w:val="clear" w:color="auto" w:fill="auto"/>
          </w:tcPr>
          <w:p w14:paraId="75329033" w14:textId="77777777" w:rsidR="002A671B" w:rsidRPr="00BF1DE8" w:rsidRDefault="002A671B" w:rsidP="00D767C8">
            <w:pPr>
              <w:jc w:val="both"/>
              <w:rPr>
                <w:rFonts w:cs="Arial"/>
              </w:rPr>
            </w:pPr>
          </w:p>
        </w:tc>
        <w:tc>
          <w:tcPr>
            <w:tcW w:w="1163" w:type="dxa"/>
            <w:shd w:val="clear" w:color="auto" w:fill="auto"/>
          </w:tcPr>
          <w:p w14:paraId="2FD2EB11" w14:textId="77777777" w:rsidR="002A671B" w:rsidRPr="00BF1DE8" w:rsidRDefault="002A671B" w:rsidP="00D767C8">
            <w:pPr>
              <w:jc w:val="both"/>
              <w:rPr>
                <w:rFonts w:cs="Arial"/>
              </w:rPr>
            </w:pPr>
          </w:p>
        </w:tc>
        <w:tc>
          <w:tcPr>
            <w:tcW w:w="1163" w:type="dxa"/>
            <w:shd w:val="clear" w:color="auto" w:fill="auto"/>
          </w:tcPr>
          <w:p w14:paraId="4990AC70" w14:textId="77777777" w:rsidR="002A671B" w:rsidRPr="00BF1DE8" w:rsidRDefault="002A671B" w:rsidP="00D767C8">
            <w:pPr>
              <w:jc w:val="both"/>
              <w:rPr>
                <w:rFonts w:cs="Arial"/>
              </w:rPr>
            </w:pPr>
          </w:p>
        </w:tc>
        <w:tc>
          <w:tcPr>
            <w:tcW w:w="1163" w:type="dxa"/>
            <w:shd w:val="clear" w:color="auto" w:fill="auto"/>
          </w:tcPr>
          <w:p w14:paraId="4E34268B" w14:textId="77777777" w:rsidR="002A671B" w:rsidRPr="00BF1DE8" w:rsidRDefault="002A671B" w:rsidP="00D767C8">
            <w:pPr>
              <w:jc w:val="both"/>
              <w:rPr>
                <w:rFonts w:cs="Arial"/>
              </w:rPr>
            </w:pPr>
            <w:r w:rsidRPr="00BF1DE8">
              <w:rPr>
                <w:rFonts w:cs="Arial"/>
              </w:rPr>
              <w:t>(Covid)</w:t>
            </w:r>
          </w:p>
        </w:tc>
        <w:tc>
          <w:tcPr>
            <w:tcW w:w="1549" w:type="dxa"/>
            <w:shd w:val="clear" w:color="auto" w:fill="auto"/>
          </w:tcPr>
          <w:p w14:paraId="41B784E1" w14:textId="77777777" w:rsidR="002A671B" w:rsidRPr="00BF1DE8" w:rsidRDefault="002A671B" w:rsidP="00D767C8">
            <w:pPr>
              <w:jc w:val="both"/>
              <w:rPr>
                <w:rFonts w:cs="Arial"/>
              </w:rPr>
            </w:pPr>
            <w:r w:rsidRPr="00BF1DE8">
              <w:rPr>
                <w:rFonts w:cs="Arial"/>
              </w:rPr>
              <w:t>(Covid)</w:t>
            </w:r>
          </w:p>
        </w:tc>
        <w:tc>
          <w:tcPr>
            <w:tcW w:w="1276" w:type="dxa"/>
            <w:shd w:val="clear" w:color="auto" w:fill="auto"/>
          </w:tcPr>
          <w:p w14:paraId="3871722C" w14:textId="77777777" w:rsidR="002A671B" w:rsidRPr="00BF1DE8" w:rsidRDefault="002A671B" w:rsidP="00D767C8">
            <w:pPr>
              <w:jc w:val="both"/>
              <w:rPr>
                <w:rFonts w:cs="Arial"/>
              </w:rPr>
            </w:pPr>
          </w:p>
        </w:tc>
      </w:tr>
    </w:tbl>
    <w:p w14:paraId="72C39064" w14:textId="77777777" w:rsidR="002A671B" w:rsidRDefault="002A671B" w:rsidP="002A671B">
      <w:pPr>
        <w:jc w:val="both"/>
        <w:rPr>
          <w:rFonts w:cs="Arial"/>
          <w:u w:val="single"/>
        </w:rPr>
      </w:pPr>
    </w:p>
    <w:p w14:paraId="53875320" w14:textId="77777777" w:rsidR="002A671B" w:rsidRPr="00581639" w:rsidRDefault="002A671B" w:rsidP="002A671B">
      <w:pPr>
        <w:jc w:val="both"/>
        <w:rPr>
          <w:rFonts w:cs="Arial"/>
          <w:u w:val="single"/>
        </w:rPr>
      </w:pPr>
    </w:p>
    <w:p w14:paraId="098CC3C7" w14:textId="77777777" w:rsidR="002A671B" w:rsidRPr="005C5377" w:rsidRDefault="002A671B" w:rsidP="002A671B">
      <w:pPr>
        <w:jc w:val="both"/>
        <w:rPr>
          <w:rFonts w:cs="Arial"/>
          <w:u w:val="single"/>
        </w:rPr>
      </w:pPr>
      <w:r w:rsidRPr="00581639">
        <w:rPr>
          <w:rFonts w:cs="Arial"/>
        </w:rPr>
        <w:t>The sole objective of the proposal is to increase the deterrent effect of PCNs and</w:t>
      </w:r>
      <w:r>
        <w:rPr>
          <w:rFonts w:cs="Arial"/>
        </w:rPr>
        <w:t xml:space="preserve"> </w:t>
      </w:r>
      <w:r w:rsidRPr="00581639">
        <w:rPr>
          <w:rFonts w:cs="Arial"/>
        </w:rPr>
        <w:t>thereby reduce parking contraventions. It is expected that this proposal will be</w:t>
      </w:r>
      <w:r>
        <w:rPr>
          <w:rFonts w:cs="Arial"/>
        </w:rPr>
        <w:t xml:space="preserve"> </w:t>
      </w:r>
      <w:r w:rsidRPr="00581639">
        <w:rPr>
          <w:rFonts w:cs="Arial"/>
        </w:rPr>
        <w:t>finance neutral.</w:t>
      </w:r>
    </w:p>
    <w:p w14:paraId="783F51E7" w14:textId="77777777" w:rsidR="002A671B" w:rsidRDefault="002A671B" w:rsidP="002A671B">
      <w:pPr>
        <w:jc w:val="both"/>
        <w:rPr>
          <w:rFonts w:cs="Arial"/>
        </w:rPr>
      </w:pPr>
    </w:p>
    <w:p w14:paraId="3035F5FE" w14:textId="77777777" w:rsidR="002A671B" w:rsidRPr="00552F2D" w:rsidRDefault="002A671B" w:rsidP="002A671B">
      <w:pPr>
        <w:autoSpaceDE w:val="0"/>
        <w:autoSpaceDN w:val="0"/>
        <w:adjustRightInd w:val="0"/>
        <w:jc w:val="both"/>
        <w:rPr>
          <w:rFonts w:ascii="ArialMT" w:hAnsi="ArialMT" w:cs="ArialMT"/>
          <w:lang w:eastAsia="en-GB"/>
        </w:rPr>
      </w:pPr>
      <w:r>
        <w:rPr>
          <w:rFonts w:ascii="ArialMT" w:hAnsi="ArialMT" w:cs="ArialMT"/>
          <w:lang w:eastAsia="en-GB"/>
        </w:rPr>
        <w:t>The additional income from higher Band PCNs would be balanced by a corresponding reduction in the number of contraventions, due to the greater deterrent effect.</w:t>
      </w:r>
    </w:p>
    <w:p w14:paraId="212ADA7B" w14:textId="77777777" w:rsidR="002A671B" w:rsidRDefault="002A671B" w:rsidP="002A671B">
      <w:pPr>
        <w:jc w:val="both"/>
      </w:pPr>
    </w:p>
    <w:p w14:paraId="71841C0A" w14:textId="6E6DC347" w:rsidR="00333FAA" w:rsidRDefault="00333FAA" w:rsidP="0054590F">
      <w:pPr>
        <w:pStyle w:val="Heading4"/>
        <w:rPr>
          <w:szCs w:val="24"/>
        </w:rPr>
      </w:pPr>
      <w:r w:rsidRPr="00BB65D2">
        <w:rPr>
          <w:szCs w:val="24"/>
        </w:rPr>
        <w:t xml:space="preserve">Resources, costs </w:t>
      </w:r>
    </w:p>
    <w:p w14:paraId="03E969C4" w14:textId="2C8B3821" w:rsidR="00BB65D2" w:rsidRDefault="00BB65D2" w:rsidP="00BB65D2"/>
    <w:p w14:paraId="27F5F690" w14:textId="77777777" w:rsidR="007011E0" w:rsidRPr="00402EDD" w:rsidRDefault="007011E0" w:rsidP="007011E0">
      <w:pPr>
        <w:jc w:val="both"/>
      </w:pPr>
      <w:r>
        <w:t xml:space="preserve">No associated increase in workforce or resource is required to implement this proposal. </w:t>
      </w:r>
    </w:p>
    <w:p w14:paraId="74349A60" w14:textId="77777777" w:rsidR="0054590F" w:rsidRPr="00F06E4E" w:rsidRDefault="0054590F" w:rsidP="0054590F">
      <w:pPr>
        <w:rPr>
          <w:szCs w:val="24"/>
        </w:rPr>
      </w:pPr>
    </w:p>
    <w:p w14:paraId="211340B3" w14:textId="79955598" w:rsidR="00333FAA" w:rsidRPr="00230FAB" w:rsidRDefault="00333FAA" w:rsidP="0054590F">
      <w:pPr>
        <w:pStyle w:val="Heading4"/>
        <w:rPr>
          <w:szCs w:val="24"/>
        </w:rPr>
      </w:pPr>
      <w:r w:rsidRPr="00230FAB">
        <w:rPr>
          <w:szCs w:val="24"/>
        </w:rPr>
        <w:t xml:space="preserve">Staffing/workforce </w:t>
      </w:r>
    </w:p>
    <w:p w14:paraId="7101AD83" w14:textId="686A802F" w:rsidR="00230FAB" w:rsidRDefault="00230FAB" w:rsidP="00230FAB"/>
    <w:p w14:paraId="5E131E32" w14:textId="77777777" w:rsidR="00230FAB" w:rsidRPr="00402EDD" w:rsidRDefault="00230FAB" w:rsidP="00230FAB">
      <w:pPr>
        <w:jc w:val="both"/>
      </w:pPr>
      <w:bookmarkStart w:id="1" w:name="_Hlk114144958"/>
      <w:r>
        <w:t xml:space="preserve">No associated increase in workforce or resource is required to implement this proposal. </w:t>
      </w:r>
    </w:p>
    <w:bookmarkEnd w:id="1"/>
    <w:p w14:paraId="75284416" w14:textId="09D2943F" w:rsidR="00A81E19" w:rsidRDefault="00A81E19" w:rsidP="00D916B5">
      <w:pPr>
        <w:pStyle w:val="Heading3"/>
        <w:spacing w:before="480" w:after="240"/>
        <w:ind w:left="0" w:firstLine="0"/>
      </w:pPr>
      <w:r>
        <w:t>Risk Management Implications</w:t>
      </w:r>
    </w:p>
    <w:p w14:paraId="0C752AF3" w14:textId="77777777" w:rsidR="00AE2633" w:rsidRPr="00E54203" w:rsidRDefault="00AE2633" w:rsidP="00AE2633">
      <w:pPr>
        <w:tabs>
          <w:tab w:val="left" w:pos="5610"/>
        </w:tabs>
        <w:ind w:right="81"/>
        <w:jc w:val="both"/>
        <w:rPr>
          <w:color w:val="0000FF"/>
        </w:rPr>
      </w:pPr>
      <w:r w:rsidRPr="00E54203">
        <w:rPr>
          <w:rFonts w:cs="Arial"/>
          <w:szCs w:val="24"/>
          <w:lang w:val="en-US"/>
        </w:rPr>
        <w:t xml:space="preserve">Risks included on corporate or directorate risk register? </w:t>
      </w:r>
      <w:r w:rsidRPr="00E54203">
        <w:rPr>
          <w:rFonts w:cs="Arial"/>
          <w:b/>
          <w:bCs/>
          <w:szCs w:val="24"/>
          <w:lang w:val="en-US"/>
        </w:rPr>
        <w:t>No</w:t>
      </w:r>
      <w:r w:rsidRPr="00E54203">
        <w:rPr>
          <w:rFonts w:cs="Arial"/>
          <w:szCs w:val="24"/>
          <w:lang w:val="en-US"/>
        </w:rPr>
        <w:t xml:space="preserve"> </w:t>
      </w:r>
    </w:p>
    <w:p w14:paraId="05FD68E6" w14:textId="77777777" w:rsidR="00AE2633" w:rsidRPr="00E54203" w:rsidRDefault="00AE2633" w:rsidP="00AE2633">
      <w:pPr>
        <w:ind w:left="-142" w:right="141"/>
        <w:jc w:val="both"/>
        <w:rPr>
          <w:rFonts w:cs="Arial"/>
          <w:szCs w:val="24"/>
          <w:lang w:val="en-US" w:eastAsia="en-GB"/>
        </w:rPr>
      </w:pPr>
      <w:r w:rsidRPr="00E54203">
        <w:rPr>
          <w:rFonts w:cs="Arial"/>
          <w:szCs w:val="24"/>
          <w:lang w:val="en-US" w:eastAsia="en-GB"/>
        </w:rPr>
        <w:t xml:space="preserve">  </w:t>
      </w:r>
    </w:p>
    <w:p w14:paraId="65ADF101" w14:textId="77777777" w:rsidR="00AE2633" w:rsidRPr="00E54203" w:rsidRDefault="00AE2633" w:rsidP="00AE2633">
      <w:pPr>
        <w:ind w:left="-142" w:right="141" w:firstLine="142"/>
        <w:jc w:val="both"/>
        <w:rPr>
          <w:rFonts w:cs="Arial"/>
          <w:color w:val="4F81BD" w:themeColor="accent1"/>
          <w:szCs w:val="24"/>
          <w:lang w:val="en-US" w:eastAsia="en-GB"/>
        </w:rPr>
      </w:pPr>
      <w:r w:rsidRPr="00E54203">
        <w:rPr>
          <w:rFonts w:cs="Arial"/>
          <w:szCs w:val="24"/>
          <w:lang w:val="en-US" w:eastAsia="en-GB"/>
        </w:rPr>
        <w:t xml:space="preserve">Separate risk register in place? </w:t>
      </w:r>
      <w:r w:rsidRPr="00E54203">
        <w:rPr>
          <w:rFonts w:cs="Arial"/>
          <w:b/>
          <w:bCs/>
          <w:szCs w:val="24"/>
          <w:lang w:val="en-US" w:eastAsia="en-GB"/>
        </w:rPr>
        <w:t>No</w:t>
      </w:r>
    </w:p>
    <w:p w14:paraId="5D03AF12" w14:textId="77777777" w:rsidR="00AE2633" w:rsidRPr="00E54203" w:rsidRDefault="00AE2633" w:rsidP="00AE2633">
      <w:pPr>
        <w:tabs>
          <w:tab w:val="left" w:pos="5610"/>
        </w:tabs>
        <w:ind w:right="81"/>
        <w:jc w:val="both"/>
      </w:pPr>
    </w:p>
    <w:p w14:paraId="71601B1B" w14:textId="77777777" w:rsidR="00AE2633" w:rsidRPr="00E54203" w:rsidRDefault="00AE2633" w:rsidP="00AE2633">
      <w:pPr>
        <w:tabs>
          <w:tab w:val="left" w:pos="5610"/>
        </w:tabs>
        <w:ind w:right="81"/>
        <w:jc w:val="both"/>
        <w:rPr>
          <w:rFonts w:cs="Arial"/>
          <w:b/>
          <w:bCs/>
          <w:szCs w:val="24"/>
          <w:lang w:val="en-US" w:eastAsia="en-GB"/>
        </w:rPr>
      </w:pPr>
      <w:r w:rsidRPr="00E54203">
        <w:t xml:space="preserve">The relevant risks contained in the register are attached/summarised below. </w:t>
      </w:r>
      <w:r w:rsidRPr="00E54203">
        <w:rPr>
          <w:rFonts w:cs="Arial"/>
          <w:b/>
          <w:bCs/>
          <w:szCs w:val="24"/>
          <w:lang w:val="en-US" w:eastAsia="en-GB"/>
        </w:rPr>
        <w:t>No</w:t>
      </w:r>
    </w:p>
    <w:p w14:paraId="0EFCC549" w14:textId="77777777" w:rsidR="00AE2633" w:rsidRPr="00524EAA" w:rsidRDefault="00AE2633" w:rsidP="00AE2633">
      <w:pPr>
        <w:tabs>
          <w:tab w:val="left" w:pos="5610"/>
        </w:tabs>
        <w:ind w:right="81"/>
        <w:jc w:val="both"/>
        <w:rPr>
          <w:rFonts w:cs="Arial"/>
          <w:b/>
          <w:bCs/>
          <w:szCs w:val="24"/>
          <w:highlight w:val="yellow"/>
          <w:lang w:val="en-US" w:eastAsia="en-GB"/>
        </w:rPr>
      </w:pPr>
    </w:p>
    <w:p w14:paraId="12293958" w14:textId="77777777" w:rsidR="00AE2633" w:rsidRDefault="00AE2633" w:rsidP="00AE2633">
      <w:pPr>
        <w:ind w:left="-567"/>
        <w:jc w:val="both"/>
      </w:pPr>
      <w:r w:rsidRPr="00A11810">
        <w:rPr>
          <w:rFonts w:cs="Arial"/>
          <w:b/>
          <w:bCs/>
          <w:szCs w:val="24"/>
          <w:lang w:val="en-US" w:eastAsia="en-GB"/>
        </w:rPr>
        <w:t xml:space="preserve"> </w:t>
      </w:r>
      <w:r w:rsidRPr="00A11810">
        <w:t xml:space="preserve"> </w:t>
      </w:r>
      <w:r w:rsidRPr="00A11810">
        <w:tab/>
        <w:t xml:space="preserve">The following key risks should be taken onto account when agreeing the </w:t>
      </w:r>
      <w:r w:rsidRPr="00A11810">
        <w:tab/>
        <w:t>recommendations in this report:</w:t>
      </w:r>
    </w:p>
    <w:p w14:paraId="5289A4CF" w14:textId="77777777" w:rsidR="00AE2633" w:rsidRDefault="00AE2633" w:rsidP="00AE2633">
      <w:pPr>
        <w:ind w:left="-567"/>
        <w:jc w:val="both"/>
      </w:pPr>
    </w:p>
    <w:tbl>
      <w:tblPr>
        <w:tblW w:w="9421" w:type="dxa"/>
        <w:tblInd w:w="-5" w:type="dxa"/>
        <w:tblCellMar>
          <w:left w:w="10" w:type="dxa"/>
          <w:right w:w="10" w:type="dxa"/>
        </w:tblCellMar>
        <w:tblLook w:val="0000" w:firstRow="0" w:lastRow="0" w:firstColumn="0" w:lastColumn="0" w:noHBand="0" w:noVBand="0"/>
      </w:tblPr>
      <w:tblGrid>
        <w:gridCol w:w="3306"/>
        <w:gridCol w:w="19"/>
        <w:gridCol w:w="4613"/>
        <w:gridCol w:w="1483"/>
      </w:tblGrid>
      <w:tr w:rsidR="00AE2633" w:rsidRPr="00552F2D" w14:paraId="1BEA71A8" w14:textId="77777777" w:rsidTr="00D90E94">
        <w:tc>
          <w:tcPr>
            <w:tcW w:w="33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8469C0" w14:textId="77777777" w:rsidR="00AE2633" w:rsidRPr="00552F2D" w:rsidRDefault="00AE2633" w:rsidP="00D767C8">
            <w:pPr>
              <w:ind w:right="141"/>
              <w:jc w:val="both"/>
              <w:rPr>
                <w:rFonts w:cs="Arial"/>
                <w:b/>
                <w:bCs/>
                <w:szCs w:val="24"/>
                <w:lang w:val="en-US" w:eastAsia="en-GB"/>
              </w:rPr>
            </w:pPr>
            <w:r w:rsidRPr="00552F2D">
              <w:rPr>
                <w:rFonts w:cs="Arial"/>
                <w:b/>
                <w:bCs/>
                <w:szCs w:val="24"/>
                <w:lang w:val="en-US" w:eastAsia="en-GB"/>
              </w:rPr>
              <w:t xml:space="preserve">Risk Description </w:t>
            </w:r>
          </w:p>
        </w:tc>
        <w:tc>
          <w:tcPr>
            <w:tcW w:w="463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D9A857" w14:textId="77777777" w:rsidR="00AE2633" w:rsidRPr="00552F2D" w:rsidRDefault="00AE2633" w:rsidP="00D767C8">
            <w:pPr>
              <w:ind w:right="141"/>
              <w:jc w:val="both"/>
              <w:rPr>
                <w:rFonts w:cs="Arial"/>
                <w:b/>
                <w:bCs/>
                <w:szCs w:val="24"/>
                <w:lang w:val="en-US" w:eastAsia="en-GB"/>
              </w:rPr>
            </w:pPr>
            <w:r w:rsidRPr="00552F2D">
              <w:rPr>
                <w:rFonts w:cs="Arial"/>
                <w:b/>
                <w:bCs/>
                <w:szCs w:val="24"/>
                <w:lang w:val="en-US" w:eastAsia="en-GB"/>
              </w:rPr>
              <w:t xml:space="preserve">Mitigations </w:t>
            </w:r>
          </w:p>
        </w:tc>
        <w:tc>
          <w:tcPr>
            <w:tcW w:w="148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101BF749" w14:textId="77777777" w:rsidR="00AE2633" w:rsidRPr="00552F2D" w:rsidRDefault="00AE2633" w:rsidP="00D767C8">
            <w:pPr>
              <w:ind w:right="141"/>
              <w:jc w:val="both"/>
              <w:rPr>
                <w:rFonts w:cs="Arial"/>
                <w:b/>
                <w:bCs/>
                <w:szCs w:val="24"/>
                <w:lang w:val="en-US" w:eastAsia="en-GB"/>
              </w:rPr>
            </w:pPr>
            <w:r w:rsidRPr="00552F2D">
              <w:rPr>
                <w:rFonts w:cs="Arial"/>
                <w:b/>
                <w:bCs/>
                <w:szCs w:val="24"/>
                <w:lang w:val="en-US" w:eastAsia="en-GB"/>
              </w:rPr>
              <w:t xml:space="preserve">RAG Status </w:t>
            </w:r>
          </w:p>
        </w:tc>
      </w:tr>
      <w:tr w:rsidR="00AE2633" w:rsidRPr="00552F2D" w14:paraId="70B5F0C2" w14:textId="77777777" w:rsidTr="00D90E94">
        <w:tc>
          <w:tcPr>
            <w:tcW w:w="332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16EE1C" w14:textId="77777777" w:rsidR="00AE2633" w:rsidRPr="00714F25" w:rsidRDefault="00AE2633" w:rsidP="00D767C8">
            <w:pPr>
              <w:autoSpaceDE w:val="0"/>
              <w:autoSpaceDN w:val="0"/>
              <w:adjustRightInd w:val="0"/>
              <w:jc w:val="both"/>
              <w:rPr>
                <w:rStyle w:val="apple-converted-space"/>
                <w:rFonts w:ascii="ArialMT" w:hAnsi="ArialMT" w:cs="ArialMT"/>
                <w:szCs w:val="24"/>
                <w:lang w:eastAsia="en-GB"/>
              </w:rPr>
            </w:pPr>
            <w:r w:rsidRPr="00714F25">
              <w:rPr>
                <w:rFonts w:ascii="ArialMT" w:hAnsi="ArialMT" w:cs="ArialMT"/>
                <w:szCs w:val="24"/>
                <w:lang w:eastAsia="en-GB"/>
              </w:rPr>
              <w:t>The rising trend in parking non-compliance continuing leading to an increase in parking contraventions in the borough</w:t>
            </w:r>
          </w:p>
        </w:tc>
        <w:tc>
          <w:tcPr>
            <w:tcW w:w="46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B964DD" w14:textId="77777777" w:rsidR="00AE2633" w:rsidRPr="00552F2D" w:rsidRDefault="00AE2633" w:rsidP="00AE2633">
            <w:pPr>
              <w:pStyle w:val="ListParagraph"/>
              <w:numPr>
                <w:ilvl w:val="0"/>
                <w:numId w:val="46"/>
              </w:numPr>
              <w:suppressAutoHyphens/>
              <w:autoSpaceDN w:val="0"/>
              <w:ind w:left="171" w:right="141" w:hanging="171"/>
              <w:jc w:val="both"/>
              <w:textAlignment w:val="baseline"/>
              <w:rPr>
                <w:rFonts w:cs="Arial"/>
                <w:lang w:val="en-US"/>
              </w:rPr>
            </w:pPr>
            <w:r>
              <w:rPr>
                <w:rFonts w:cs="Arial"/>
                <w:lang w:val="en-US"/>
              </w:rPr>
              <w:t xml:space="preserve">Recommendation of the report on consultation and delegation is accepted </w:t>
            </w:r>
          </w:p>
        </w:tc>
        <w:tc>
          <w:tcPr>
            <w:tcW w:w="1483" w:type="dxa"/>
            <w:tcBorders>
              <w:top w:val="single" w:sz="4" w:space="0" w:color="000000"/>
              <w:left w:val="single" w:sz="4" w:space="0" w:color="000000"/>
              <w:bottom w:val="single" w:sz="4" w:space="0" w:color="000000"/>
              <w:right w:val="single" w:sz="4" w:space="0" w:color="000000"/>
            </w:tcBorders>
            <w:shd w:val="clear" w:color="auto" w:fill="00B050"/>
            <w:tcMar>
              <w:top w:w="0" w:type="dxa"/>
              <w:left w:w="10" w:type="dxa"/>
              <w:bottom w:w="0" w:type="dxa"/>
              <w:right w:w="10" w:type="dxa"/>
            </w:tcMar>
          </w:tcPr>
          <w:p w14:paraId="715F5111" w14:textId="77777777" w:rsidR="00AE2633" w:rsidRDefault="00AE2633" w:rsidP="00D767C8">
            <w:pPr>
              <w:ind w:right="141"/>
              <w:jc w:val="center"/>
              <w:rPr>
                <w:rFonts w:cs="Arial"/>
                <w:color w:val="000000"/>
                <w:lang w:val="en-US"/>
              </w:rPr>
            </w:pPr>
            <w:r>
              <w:rPr>
                <w:rFonts w:cs="Arial"/>
                <w:color w:val="000000"/>
                <w:lang w:val="en-US"/>
              </w:rPr>
              <w:t>Green</w:t>
            </w:r>
          </w:p>
        </w:tc>
      </w:tr>
      <w:tr w:rsidR="00AE2633" w:rsidRPr="00552F2D" w14:paraId="44E09858" w14:textId="77777777" w:rsidTr="00D90E94">
        <w:tc>
          <w:tcPr>
            <w:tcW w:w="332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E23EC9" w14:textId="77777777" w:rsidR="00AE2633" w:rsidRPr="00714F25" w:rsidRDefault="00AE2633" w:rsidP="00D767C8">
            <w:pPr>
              <w:ind w:right="141"/>
              <w:jc w:val="both"/>
              <w:rPr>
                <w:rFonts w:cs="Arial"/>
                <w:lang w:val="en-US"/>
              </w:rPr>
            </w:pPr>
            <w:r w:rsidRPr="00714F25">
              <w:rPr>
                <w:rStyle w:val="apple-converted-space"/>
                <w:rFonts w:cs="Arial"/>
                <w:lang w:val="en-US"/>
              </w:rPr>
              <w:t>T</w:t>
            </w:r>
            <w:r w:rsidRPr="00714F25">
              <w:rPr>
                <w:rStyle w:val="apple-converted-space"/>
                <w:lang w:val="en-US"/>
              </w:rPr>
              <w:t>he borough-wide consultation returns a negative result</w:t>
            </w:r>
          </w:p>
        </w:tc>
        <w:tc>
          <w:tcPr>
            <w:tcW w:w="46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8F65AF" w14:textId="77777777" w:rsidR="00AE2633" w:rsidRPr="00552F2D" w:rsidRDefault="00AE2633" w:rsidP="00AE2633">
            <w:pPr>
              <w:pStyle w:val="ListParagraph"/>
              <w:numPr>
                <w:ilvl w:val="0"/>
                <w:numId w:val="46"/>
              </w:numPr>
              <w:suppressAutoHyphens/>
              <w:autoSpaceDN w:val="0"/>
              <w:ind w:left="171" w:right="141" w:hanging="171"/>
              <w:jc w:val="both"/>
              <w:textAlignment w:val="baseline"/>
              <w:rPr>
                <w:rFonts w:cs="Arial"/>
                <w:szCs w:val="24"/>
                <w:lang w:val="en-US" w:eastAsia="en-GB"/>
              </w:rPr>
            </w:pPr>
            <w:r w:rsidRPr="00552F2D">
              <w:rPr>
                <w:rFonts w:cs="Arial"/>
                <w:lang w:val="en-US"/>
              </w:rPr>
              <w:t xml:space="preserve">  PCN banding to remain as Band B</w:t>
            </w:r>
          </w:p>
        </w:tc>
        <w:tc>
          <w:tcPr>
            <w:tcW w:w="1483" w:type="dxa"/>
            <w:tcBorders>
              <w:top w:val="single" w:sz="4" w:space="0" w:color="000000"/>
              <w:left w:val="single" w:sz="4" w:space="0" w:color="000000"/>
              <w:bottom w:val="single" w:sz="4" w:space="0" w:color="000000"/>
              <w:right w:val="single" w:sz="4" w:space="0" w:color="000000"/>
            </w:tcBorders>
            <w:shd w:val="clear" w:color="auto" w:fill="FFC000"/>
            <w:tcMar>
              <w:top w:w="0" w:type="dxa"/>
              <w:left w:w="10" w:type="dxa"/>
              <w:bottom w:w="0" w:type="dxa"/>
              <w:right w:w="10" w:type="dxa"/>
            </w:tcMar>
            <w:vAlign w:val="center"/>
          </w:tcPr>
          <w:p w14:paraId="503CBB0C" w14:textId="77777777" w:rsidR="00AE2633" w:rsidRPr="00552F2D" w:rsidRDefault="00AE2633" w:rsidP="00D767C8">
            <w:pPr>
              <w:ind w:right="141"/>
              <w:jc w:val="center"/>
              <w:rPr>
                <w:rFonts w:cs="Arial"/>
                <w:szCs w:val="24"/>
                <w:lang w:val="en-US" w:eastAsia="en-GB"/>
              </w:rPr>
            </w:pPr>
            <w:r>
              <w:rPr>
                <w:rFonts w:cs="Arial"/>
                <w:color w:val="000000"/>
                <w:lang w:val="en-US"/>
              </w:rPr>
              <w:t>Amber</w:t>
            </w:r>
          </w:p>
        </w:tc>
      </w:tr>
      <w:tr w:rsidR="00AE2633" w:rsidRPr="00552F2D" w14:paraId="55FBD7B4" w14:textId="77777777" w:rsidTr="00D90E94">
        <w:tc>
          <w:tcPr>
            <w:tcW w:w="332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4151C4" w14:textId="77777777" w:rsidR="00AE2633" w:rsidRPr="00714F25" w:rsidRDefault="00AE2633" w:rsidP="00D767C8">
            <w:pPr>
              <w:ind w:right="141"/>
              <w:jc w:val="both"/>
              <w:rPr>
                <w:rFonts w:cs="Arial"/>
                <w:szCs w:val="24"/>
                <w:lang w:val="en-US" w:eastAsia="en-GB"/>
              </w:rPr>
            </w:pPr>
            <w:r w:rsidRPr="00714F25">
              <w:rPr>
                <w:rFonts w:cs="Arial"/>
                <w:szCs w:val="24"/>
                <w:lang w:val="en-US" w:eastAsia="en-GB"/>
              </w:rPr>
              <w:t>The Secretary of State or London Councils decline the application</w:t>
            </w:r>
          </w:p>
        </w:tc>
        <w:tc>
          <w:tcPr>
            <w:tcW w:w="46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EAB854" w14:textId="77777777" w:rsidR="00AE2633" w:rsidRPr="00552F2D" w:rsidRDefault="00AE2633" w:rsidP="00AE2633">
            <w:pPr>
              <w:pStyle w:val="ListParagraph"/>
              <w:numPr>
                <w:ilvl w:val="0"/>
                <w:numId w:val="46"/>
              </w:numPr>
              <w:suppressAutoHyphens/>
              <w:autoSpaceDN w:val="0"/>
              <w:ind w:left="171" w:right="141" w:hanging="171"/>
              <w:jc w:val="both"/>
              <w:textAlignment w:val="baseline"/>
              <w:rPr>
                <w:rFonts w:cs="Arial"/>
                <w:szCs w:val="24"/>
                <w:lang w:val="en-US" w:eastAsia="en-GB"/>
              </w:rPr>
            </w:pPr>
            <w:r w:rsidRPr="00552F2D">
              <w:rPr>
                <w:rFonts w:cs="Arial"/>
                <w:szCs w:val="24"/>
                <w:lang w:val="en-US" w:eastAsia="en-GB"/>
              </w:rPr>
              <w:t xml:space="preserve">  </w:t>
            </w:r>
            <w:r w:rsidRPr="00552F2D">
              <w:rPr>
                <w:rFonts w:cs="Arial"/>
                <w:lang w:val="en-US"/>
              </w:rPr>
              <w:t>PCN banding to remain as Band B</w:t>
            </w:r>
          </w:p>
        </w:tc>
        <w:tc>
          <w:tcPr>
            <w:tcW w:w="1483" w:type="dxa"/>
            <w:tcBorders>
              <w:top w:val="single" w:sz="4" w:space="0" w:color="000000"/>
              <w:left w:val="single" w:sz="4" w:space="0" w:color="000000"/>
              <w:bottom w:val="single" w:sz="4" w:space="0" w:color="000000"/>
              <w:right w:val="single" w:sz="4" w:space="0" w:color="000000"/>
            </w:tcBorders>
            <w:shd w:val="clear" w:color="auto" w:fill="FFC000"/>
            <w:tcMar>
              <w:top w:w="0" w:type="dxa"/>
              <w:left w:w="10" w:type="dxa"/>
              <w:bottom w:w="0" w:type="dxa"/>
              <w:right w:w="10" w:type="dxa"/>
            </w:tcMar>
            <w:vAlign w:val="center"/>
          </w:tcPr>
          <w:p w14:paraId="0AAE2631" w14:textId="77777777" w:rsidR="00AE2633" w:rsidRPr="00552F2D" w:rsidRDefault="00AE2633" w:rsidP="00D767C8">
            <w:pPr>
              <w:ind w:right="141"/>
              <w:jc w:val="center"/>
              <w:rPr>
                <w:rFonts w:cs="Arial"/>
                <w:szCs w:val="24"/>
                <w:lang w:val="en-US" w:eastAsia="en-GB"/>
              </w:rPr>
            </w:pPr>
            <w:r>
              <w:rPr>
                <w:rFonts w:cs="Arial"/>
                <w:szCs w:val="24"/>
                <w:lang w:val="en-US" w:eastAsia="en-GB"/>
              </w:rPr>
              <w:t>Amber</w:t>
            </w:r>
          </w:p>
        </w:tc>
      </w:tr>
      <w:tr w:rsidR="00AE2633" w:rsidRPr="00524EAA" w14:paraId="108A97EB" w14:textId="77777777" w:rsidTr="00D90E94">
        <w:tc>
          <w:tcPr>
            <w:tcW w:w="332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8EED2E" w14:textId="77777777" w:rsidR="00AE2633" w:rsidRPr="00714F25" w:rsidRDefault="00AE2633" w:rsidP="00D767C8">
            <w:pPr>
              <w:ind w:right="141"/>
              <w:jc w:val="both"/>
              <w:rPr>
                <w:rFonts w:cs="Arial"/>
                <w:szCs w:val="24"/>
                <w:lang w:val="en-US" w:eastAsia="en-GB"/>
              </w:rPr>
            </w:pPr>
            <w:r w:rsidRPr="00714F25">
              <w:rPr>
                <w:rFonts w:cs="Arial"/>
                <w:szCs w:val="24"/>
                <w:lang w:val="en-US" w:eastAsia="en-GB"/>
              </w:rPr>
              <w:t>The Cabinet do not agree to sign off the proposal</w:t>
            </w:r>
          </w:p>
        </w:tc>
        <w:tc>
          <w:tcPr>
            <w:tcW w:w="46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2DE0EB" w14:textId="77777777" w:rsidR="00AE2633" w:rsidRPr="00552F2D" w:rsidRDefault="00AE2633" w:rsidP="00AE2633">
            <w:pPr>
              <w:pStyle w:val="ListParagraph"/>
              <w:numPr>
                <w:ilvl w:val="0"/>
                <w:numId w:val="46"/>
              </w:numPr>
              <w:suppressAutoHyphens/>
              <w:autoSpaceDN w:val="0"/>
              <w:ind w:left="171" w:right="141" w:hanging="171"/>
              <w:jc w:val="both"/>
              <w:textAlignment w:val="baseline"/>
              <w:rPr>
                <w:rFonts w:cs="Arial"/>
                <w:szCs w:val="24"/>
                <w:lang w:val="en-US" w:eastAsia="en-GB"/>
              </w:rPr>
            </w:pPr>
            <w:r w:rsidRPr="00552F2D">
              <w:rPr>
                <w:rFonts w:cs="Arial"/>
                <w:lang w:val="en-US"/>
              </w:rPr>
              <w:t>PCN banding to remain as Band B</w:t>
            </w:r>
          </w:p>
        </w:tc>
        <w:tc>
          <w:tcPr>
            <w:tcW w:w="1483" w:type="dxa"/>
            <w:tcBorders>
              <w:top w:val="single" w:sz="4" w:space="0" w:color="000000"/>
              <w:left w:val="single" w:sz="4" w:space="0" w:color="000000"/>
              <w:bottom w:val="single" w:sz="4" w:space="0" w:color="000000"/>
              <w:right w:val="single" w:sz="4" w:space="0" w:color="000000"/>
            </w:tcBorders>
            <w:shd w:val="clear" w:color="auto" w:fill="FFC000"/>
            <w:tcMar>
              <w:top w:w="0" w:type="dxa"/>
              <w:left w:w="10" w:type="dxa"/>
              <w:bottom w:w="0" w:type="dxa"/>
              <w:right w:w="10" w:type="dxa"/>
            </w:tcMar>
            <w:vAlign w:val="center"/>
          </w:tcPr>
          <w:p w14:paraId="6A1A5DBA" w14:textId="77777777" w:rsidR="00AE2633" w:rsidRPr="00552F2D" w:rsidRDefault="00AE2633" w:rsidP="00D767C8">
            <w:pPr>
              <w:ind w:right="141"/>
              <w:jc w:val="center"/>
              <w:rPr>
                <w:rFonts w:cs="Arial"/>
                <w:szCs w:val="24"/>
                <w:lang w:val="en-US" w:eastAsia="en-GB"/>
              </w:rPr>
            </w:pPr>
            <w:r>
              <w:rPr>
                <w:rFonts w:cs="Arial"/>
                <w:szCs w:val="24"/>
                <w:lang w:val="en-US" w:eastAsia="en-GB"/>
              </w:rPr>
              <w:t>Amber</w:t>
            </w:r>
          </w:p>
        </w:tc>
      </w:tr>
    </w:tbl>
    <w:p w14:paraId="0249BBDB" w14:textId="61A5A4B3" w:rsidR="002A3FEF" w:rsidRDefault="002A3FEF" w:rsidP="00A1211C">
      <w:pPr>
        <w:pStyle w:val="Heading3"/>
        <w:spacing w:before="480" w:after="240"/>
      </w:pPr>
      <w:r>
        <w:lastRenderedPageBreak/>
        <w:t>Procurement Implications</w:t>
      </w:r>
    </w:p>
    <w:p w14:paraId="5FEB02CD" w14:textId="77777777" w:rsidR="00373AC2" w:rsidRDefault="00373AC2" w:rsidP="00373AC2">
      <w:pPr>
        <w:jc w:val="both"/>
      </w:pPr>
      <w:r w:rsidRPr="004C7BB0">
        <w:t>Any aspect of procurement that may arise out of the recommendations of this report will be undertaken in accordance with Public Procurement Regulations 2015 (as amended) and with the support and advice of the procurement team</w:t>
      </w:r>
    </w:p>
    <w:p w14:paraId="44413A6E" w14:textId="433FB94D" w:rsidR="00333FAA" w:rsidRDefault="00333FAA" w:rsidP="00373AC2">
      <w:pPr>
        <w:pStyle w:val="Heading3"/>
        <w:spacing w:before="480" w:after="240"/>
        <w:ind w:left="0" w:firstLine="0"/>
      </w:pPr>
      <w:r>
        <w:t>Legal Implications</w:t>
      </w:r>
    </w:p>
    <w:p w14:paraId="1A866F4B" w14:textId="77777777" w:rsidR="00EA58B4" w:rsidRDefault="00EA58B4" w:rsidP="00EA58B4">
      <w:pPr>
        <w:autoSpaceDE w:val="0"/>
        <w:autoSpaceDN w:val="0"/>
        <w:adjustRightInd w:val="0"/>
        <w:jc w:val="both"/>
        <w:rPr>
          <w:rFonts w:ascii="ArialMT" w:hAnsi="ArialMT" w:cs="ArialMT"/>
          <w:szCs w:val="24"/>
          <w:lang w:eastAsia="en-GB"/>
        </w:rPr>
      </w:pPr>
      <w:r>
        <w:rPr>
          <w:rFonts w:ascii="ArialMT" w:hAnsi="ArialMT" w:cs="ArialMT"/>
          <w:szCs w:val="24"/>
          <w:lang w:eastAsia="en-GB"/>
        </w:rPr>
        <w:t>The route to obtain approval for a change of bands in respect of charging for</w:t>
      </w:r>
    </w:p>
    <w:p w14:paraId="32684A18" w14:textId="77777777" w:rsidR="00EA58B4" w:rsidRDefault="00EA58B4" w:rsidP="00EA58B4">
      <w:pPr>
        <w:autoSpaceDE w:val="0"/>
        <w:autoSpaceDN w:val="0"/>
        <w:adjustRightInd w:val="0"/>
        <w:jc w:val="both"/>
        <w:rPr>
          <w:rFonts w:ascii="ArialMT" w:hAnsi="ArialMT" w:cs="ArialMT"/>
          <w:szCs w:val="24"/>
          <w:lang w:eastAsia="en-GB"/>
        </w:rPr>
      </w:pPr>
      <w:r>
        <w:rPr>
          <w:rFonts w:ascii="ArialMT" w:hAnsi="ArialMT" w:cs="ArialMT"/>
          <w:szCs w:val="24"/>
          <w:lang w:eastAsia="en-GB"/>
        </w:rPr>
        <w:t xml:space="preserve">penalty charge notices </w:t>
      </w:r>
      <w:proofErr w:type="gramStart"/>
      <w:r>
        <w:rPr>
          <w:rFonts w:ascii="ArialMT" w:hAnsi="ArialMT" w:cs="ArialMT"/>
          <w:szCs w:val="24"/>
          <w:lang w:eastAsia="en-GB"/>
        </w:rPr>
        <w:t>is</w:t>
      </w:r>
      <w:proofErr w:type="gramEnd"/>
      <w:r>
        <w:rPr>
          <w:rFonts w:ascii="ArialMT" w:hAnsi="ArialMT" w:cs="ArialMT"/>
          <w:szCs w:val="24"/>
          <w:lang w:eastAsia="en-GB"/>
        </w:rPr>
        <w:t xml:space="preserve"> as follows:</w:t>
      </w:r>
    </w:p>
    <w:p w14:paraId="65EF36E2" w14:textId="77777777" w:rsidR="00EA58B4" w:rsidRDefault="00EA58B4" w:rsidP="00EA58B4">
      <w:pPr>
        <w:autoSpaceDE w:val="0"/>
        <w:autoSpaceDN w:val="0"/>
        <w:adjustRightInd w:val="0"/>
        <w:jc w:val="both"/>
        <w:rPr>
          <w:rFonts w:ascii="ArialMT" w:hAnsi="ArialMT" w:cs="ArialMT"/>
          <w:szCs w:val="24"/>
          <w:lang w:eastAsia="en-GB"/>
        </w:rPr>
      </w:pPr>
    </w:p>
    <w:p w14:paraId="251976D6" w14:textId="77777777" w:rsidR="00EA58B4" w:rsidRDefault="00EA58B4" w:rsidP="00EA58B4">
      <w:pPr>
        <w:autoSpaceDE w:val="0"/>
        <w:autoSpaceDN w:val="0"/>
        <w:adjustRightInd w:val="0"/>
        <w:jc w:val="both"/>
        <w:rPr>
          <w:rFonts w:ascii="ArialMT" w:hAnsi="ArialMT" w:cs="ArialMT"/>
          <w:szCs w:val="24"/>
          <w:lang w:eastAsia="en-GB"/>
        </w:rPr>
      </w:pPr>
      <w:r>
        <w:rPr>
          <w:rFonts w:ascii="ArialMT" w:hAnsi="ArialMT" w:cs="ArialMT"/>
          <w:szCs w:val="24"/>
          <w:lang w:eastAsia="en-GB"/>
        </w:rPr>
        <w:t xml:space="preserve">a) LB Harrow’s Cabinet and thereafter </w:t>
      </w:r>
      <w:proofErr w:type="gramStart"/>
      <w:r>
        <w:rPr>
          <w:rFonts w:ascii="ArialMT" w:hAnsi="ArialMT" w:cs="ArialMT"/>
          <w:szCs w:val="24"/>
          <w:lang w:eastAsia="en-GB"/>
        </w:rPr>
        <w:t>consultation;</w:t>
      </w:r>
      <w:proofErr w:type="gramEnd"/>
    </w:p>
    <w:p w14:paraId="5CF0B772" w14:textId="77777777" w:rsidR="00EA58B4" w:rsidRDefault="00EA58B4" w:rsidP="00EA58B4">
      <w:pPr>
        <w:autoSpaceDE w:val="0"/>
        <w:autoSpaceDN w:val="0"/>
        <w:adjustRightInd w:val="0"/>
        <w:jc w:val="both"/>
        <w:rPr>
          <w:rFonts w:ascii="ArialMT" w:hAnsi="ArialMT" w:cs="ArialMT"/>
          <w:szCs w:val="24"/>
          <w:lang w:eastAsia="en-GB"/>
        </w:rPr>
      </w:pPr>
      <w:r>
        <w:rPr>
          <w:rFonts w:ascii="ArialMT" w:hAnsi="ArialMT" w:cs="ArialMT"/>
          <w:szCs w:val="24"/>
          <w:lang w:eastAsia="en-GB"/>
        </w:rPr>
        <w:t xml:space="preserve">b) London Councils – Transport &amp; Environment </w:t>
      </w:r>
      <w:proofErr w:type="gramStart"/>
      <w:r>
        <w:rPr>
          <w:rFonts w:ascii="ArialMT" w:hAnsi="ArialMT" w:cs="ArialMT"/>
          <w:szCs w:val="24"/>
          <w:lang w:eastAsia="en-GB"/>
        </w:rPr>
        <w:t>Committee;</w:t>
      </w:r>
      <w:proofErr w:type="gramEnd"/>
    </w:p>
    <w:p w14:paraId="19BA8A1A" w14:textId="77777777" w:rsidR="00EA58B4" w:rsidRDefault="00EA58B4" w:rsidP="00EA58B4">
      <w:pPr>
        <w:autoSpaceDE w:val="0"/>
        <w:autoSpaceDN w:val="0"/>
        <w:adjustRightInd w:val="0"/>
        <w:jc w:val="both"/>
        <w:rPr>
          <w:rFonts w:ascii="ArialMT" w:hAnsi="ArialMT" w:cs="ArialMT"/>
          <w:szCs w:val="24"/>
          <w:lang w:eastAsia="en-GB"/>
        </w:rPr>
      </w:pPr>
      <w:r>
        <w:rPr>
          <w:rFonts w:ascii="ArialMT" w:hAnsi="ArialMT" w:cs="ArialMT"/>
          <w:szCs w:val="24"/>
          <w:lang w:eastAsia="en-GB"/>
        </w:rPr>
        <w:t xml:space="preserve">c) Mayor of </w:t>
      </w:r>
      <w:proofErr w:type="gramStart"/>
      <w:r>
        <w:rPr>
          <w:rFonts w:ascii="ArialMT" w:hAnsi="ArialMT" w:cs="ArialMT"/>
          <w:szCs w:val="24"/>
          <w:lang w:eastAsia="en-GB"/>
        </w:rPr>
        <w:t>London;</w:t>
      </w:r>
      <w:proofErr w:type="gramEnd"/>
    </w:p>
    <w:p w14:paraId="2450BA53" w14:textId="77777777" w:rsidR="00EA58B4" w:rsidRDefault="00EA58B4" w:rsidP="00EA58B4">
      <w:pPr>
        <w:jc w:val="both"/>
        <w:rPr>
          <w:rFonts w:ascii="ArialMT" w:hAnsi="ArialMT" w:cs="ArialMT"/>
          <w:szCs w:val="24"/>
          <w:lang w:eastAsia="en-GB"/>
        </w:rPr>
      </w:pPr>
      <w:r>
        <w:rPr>
          <w:rFonts w:ascii="ArialMT" w:hAnsi="ArialMT" w:cs="ArialMT"/>
          <w:szCs w:val="24"/>
          <w:lang w:eastAsia="en-GB"/>
        </w:rPr>
        <w:t>d) Secretary of State for Transport.</w:t>
      </w:r>
    </w:p>
    <w:p w14:paraId="4808C271" w14:textId="77777777" w:rsidR="00EA58B4" w:rsidRDefault="00EA58B4" w:rsidP="00EA58B4">
      <w:pPr>
        <w:jc w:val="both"/>
        <w:rPr>
          <w:rFonts w:ascii="ArialMT" w:hAnsi="ArialMT" w:cs="ArialMT"/>
          <w:szCs w:val="24"/>
          <w:lang w:eastAsia="en-GB"/>
        </w:rPr>
      </w:pPr>
    </w:p>
    <w:p w14:paraId="13183D0C" w14:textId="77777777" w:rsidR="00EA58B4" w:rsidRDefault="00EA58B4" w:rsidP="00EA58B4">
      <w:pPr>
        <w:autoSpaceDE w:val="0"/>
        <w:autoSpaceDN w:val="0"/>
        <w:adjustRightInd w:val="0"/>
        <w:jc w:val="both"/>
        <w:rPr>
          <w:rFonts w:ascii="ArialMT" w:hAnsi="ArialMT" w:cs="ArialMT"/>
          <w:szCs w:val="24"/>
          <w:lang w:eastAsia="en-GB"/>
        </w:rPr>
      </w:pPr>
      <w:r>
        <w:rPr>
          <w:rFonts w:ascii="ArialMT" w:hAnsi="ArialMT" w:cs="ArialMT"/>
          <w:szCs w:val="24"/>
          <w:lang w:eastAsia="en-GB"/>
        </w:rPr>
        <w:t>The London Councils’ Transport &amp; Environment Committee (“LC TEC”) receives the</w:t>
      </w:r>
    </w:p>
    <w:p w14:paraId="23EAC097" w14:textId="77777777" w:rsidR="00EA58B4" w:rsidRDefault="00EA58B4" w:rsidP="00EA58B4">
      <w:pPr>
        <w:autoSpaceDE w:val="0"/>
        <w:autoSpaceDN w:val="0"/>
        <w:adjustRightInd w:val="0"/>
        <w:jc w:val="both"/>
        <w:rPr>
          <w:rFonts w:ascii="ArialMT" w:hAnsi="ArialMT" w:cs="ArialMT"/>
          <w:szCs w:val="24"/>
          <w:lang w:eastAsia="en-GB"/>
        </w:rPr>
      </w:pPr>
      <w:r>
        <w:rPr>
          <w:rFonts w:ascii="ArialMT" w:hAnsi="ArialMT" w:cs="ArialMT"/>
          <w:szCs w:val="24"/>
          <w:lang w:eastAsia="en-GB"/>
        </w:rPr>
        <w:t>initial application from the borough. Typically, the application receives intense</w:t>
      </w:r>
    </w:p>
    <w:p w14:paraId="7FEB226A" w14:textId="77777777" w:rsidR="00EA58B4" w:rsidRDefault="00EA58B4" w:rsidP="00EA58B4">
      <w:pPr>
        <w:autoSpaceDE w:val="0"/>
        <w:autoSpaceDN w:val="0"/>
        <w:adjustRightInd w:val="0"/>
        <w:jc w:val="both"/>
        <w:rPr>
          <w:rFonts w:ascii="ArialMT" w:hAnsi="ArialMT" w:cs="ArialMT"/>
          <w:szCs w:val="24"/>
          <w:lang w:eastAsia="en-GB"/>
        </w:rPr>
      </w:pPr>
      <w:r>
        <w:rPr>
          <w:rFonts w:ascii="ArialMT" w:hAnsi="ArialMT" w:cs="ArialMT"/>
          <w:szCs w:val="24"/>
          <w:lang w:eastAsia="en-GB"/>
        </w:rPr>
        <w:t>scrutiny at this stage, and LC TEC has in the past deferred decisions on applications that are not supported by adequate public consultation. If the final decision of LC TEC is to progress such an application, the results of the consultation would be incorporated into the application for further approval. Providing that LC TEC approves the Council’s application to re-band its PCN charging, London Councils will then make an application for approval to the Mayor of London, and ultimately to the Secretary of State, on behalf of the London Borough of Harrow.</w:t>
      </w:r>
    </w:p>
    <w:p w14:paraId="7A943A3C" w14:textId="77777777" w:rsidR="00EA58B4" w:rsidRDefault="00EA58B4" w:rsidP="00EA58B4">
      <w:pPr>
        <w:autoSpaceDE w:val="0"/>
        <w:autoSpaceDN w:val="0"/>
        <w:adjustRightInd w:val="0"/>
        <w:jc w:val="both"/>
        <w:rPr>
          <w:rFonts w:ascii="ArialMT" w:hAnsi="ArialMT" w:cs="ArialMT"/>
          <w:szCs w:val="24"/>
          <w:lang w:eastAsia="en-GB"/>
        </w:rPr>
      </w:pPr>
    </w:p>
    <w:p w14:paraId="238B0835" w14:textId="77777777" w:rsidR="00EA58B4" w:rsidRDefault="00EA58B4" w:rsidP="00EA58B4">
      <w:pPr>
        <w:autoSpaceDE w:val="0"/>
        <w:autoSpaceDN w:val="0"/>
        <w:adjustRightInd w:val="0"/>
        <w:jc w:val="both"/>
        <w:rPr>
          <w:rFonts w:ascii="ArialMT" w:hAnsi="ArialMT" w:cs="ArialMT"/>
          <w:szCs w:val="24"/>
          <w:lang w:eastAsia="en-GB"/>
        </w:rPr>
      </w:pPr>
      <w:r>
        <w:rPr>
          <w:rFonts w:ascii="ArialMT" w:hAnsi="ArialMT" w:cs="ArialMT"/>
          <w:szCs w:val="24"/>
          <w:lang w:eastAsia="en-GB"/>
        </w:rPr>
        <w:t>Under Section 45 of the Road Traffic Regulation Act 1984 (RTRA 1984), a local</w:t>
      </w:r>
    </w:p>
    <w:p w14:paraId="395FCB17" w14:textId="24398AC0" w:rsidR="00EA58B4" w:rsidRDefault="00EA58B4" w:rsidP="00EA58B4">
      <w:pPr>
        <w:autoSpaceDE w:val="0"/>
        <w:autoSpaceDN w:val="0"/>
        <w:adjustRightInd w:val="0"/>
        <w:jc w:val="both"/>
        <w:rPr>
          <w:rFonts w:ascii="ArialMT" w:hAnsi="ArialMT" w:cs="ArialMT"/>
          <w:szCs w:val="24"/>
          <w:lang w:eastAsia="en-GB"/>
        </w:rPr>
      </w:pPr>
      <w:r>
        <w:rPr>
          <w:rFonts w:ascii="ArialMT" w:hAnsi="ArialMT" w:cs="ArialMT"/>
          <w:szCs w:val="24"/>
          <w:lang w:eastAsia="en-GB"/>
        </w:rPr>
        <w:t>authority has powers to designate parking places on the highway, to charge for use</w:t>
      </w:r>
      <w:r w:rsidR="00D90E94">
        <w:rPr>
          <w:rFonts w:ascii="ArialMT" w:hAnsi="ArialMT" w:cs="ArialMT"/>
          <w:szCs w:val="24"/>
          <w:lang w:eastAsia="en-GB"/>
        </w:rPr>
        <w:t xml:space="preserve"> </w:t>
      </w:r>
      <w:r>
        <w:rPr>
          <w:rFonts w:ascii="ArialMT" w:hAnsi="ArialMT" w:cs="ArialMT"/>
          <w:szCs w:val="24"/>
          <w:lang w:eastAsia="en-GB"/>
        </w:rPr>
        <w:t>of them, and to issue parking permits for a charge.</w:t>
      </w:r>
      <w:r w:rsidR="00D90E94">
        <w:rPr>
          <w:rFonts w:ascii="ArialMT" w:hAnsi="ArialMT" w:cs="ArialMT"/>
          <w:szCs w:val="24"/>
          <w:lang w:eastAsia="en-GB"/>
        </w:rPr>
        <w:t xml:space="preserve"> </w:t>
      </w:r>
      <w:r>
        <w:rPr>
          <w:rFonts w:ascii="ArialMT" w:hAnsi="ArialMT" w:cs="ArialMT"/>
          <w:szCs w:val="24"/>
          <w:lang w:eastAsia="en-GB"/>
        </w:rPr>
        <w:t>In determining what parking places are to be designated under section 45 of the</w:t>
      </w:r>
      <w:r w:rsidR="00D90E94">
        <w:rPr>
          <w:rFonts w:ascii="ArialMT" w:hAnsi="ArialMT" w:cs="ArialMT"/>
          <w:szCs w:val="24"/>
          <w:lang w:eastAsia="en-GB"/>
        </w:rPr>
        <w:t xml:space="preserve"> </w:t>
      </w:r>
      <w:r>
        <w:rPr>
          <w:rFonts w:ascii="ArialMT" w:hAnsi="ArialMT" w:cs="ArialMT"/>
          <w:szCs w:val="24"/>
          <w:lang w:eastAsia="en-GB"/>
        </w:rPr>
        <w:t>RTRA 1984, the Council concerned shall consider both the interests of traffic and</w:t>
      </w:r>
      <w:r w:rsidR="00D90E94">
        <w:rPr>
          <w:rFonts w:ascii="ArialMT" w:hAnsi="ArialMT" w:cs="ArialMT"/>
          <w:szCs w:val="24"/>
          <w:lang w:eastAsia="en-GB"/>
        </w:rPr>
        <w:t xml:space="preserve"> </w:t>
      </w:r>
      <w:r>
        <w:rPr>
          <w:rFonts w:ascii="ArialMT" w:hAnsi="ArialMT" w:cs="ArialMT"/>
          <w:szCs w:val="24"/>
          <w:lang w:eastAsia="en-GB"/>
        </w:rPr>
        <w:t>those of the owners and occupiers of adjoining property, and in particular the</w:t>
      </w:r>
      <w:r w:rsidR="00D90E94">
        <w:rPr>
          <w:rFonts w:ascii="ArialMT" w:hAnsi="ArialMT" w:cs="ArialMT"/>
          <w:szCs w:val="24"/>
          <w:lang w:eastAsia="en-GB"/>
        </w:rPr>
        <w:t xml:space="preserve"> </w:t>
      </w:r>
      <w:r>
        <w:rPr>
          <w:rFonts w:ascii="ArialMT" w:hAnsi="ArialMT" w:cs="ArialMT"/>
          <w:szCs w:val="24"/>
          <w:lang w:eastAsia="en-GB"/>
        </w:rPr>
        <w:t>matters to which that authority shall have regard include</w:t>
      </w:r>
      <w:r w:rsidR="00D90E94">
        <w:rPr>
          <w:rFonts w:ascii="ArialMT" w:hAnsi="ArialMT" w:cs="ArialMT"/>
          <w:szCs w:val="24"/>
          <w:lang w:eastAsia="en-GB"/>
        </w:rPr>
        <w:t>:</w:t>
      </w:r>
    </w:p>
    <w:p w14:paraId="4E8CBD3E" w14:textId="77777777" w:rsidR="00D90E94" w:rsidRDefault="00D90E94" w:rsidP="00EA58B4">
      <w:pPr>
        <w:autoSpaceDE w:val="0"/>
        <w:autoSpaceDN w:val="0"/>
        <w:adjustRightInd w:val="0"/>
        <w:jc w:val="both"/>
        <w:rPr>
          <w:rFonts w:ascii="ArialMT" w:hAnsi="ArialMT" w:cs="ArialMT"/>
          <w:szCs w:val="24"/>
          <w:lang w:eastAsia="en-GB"/>
        </w:rPr>
      </w:pPr>
    </w:p>
    <w:p w14:paraId="2AFEFD8F" w14:textId="77777777" w:rsidR="00EA58B4" w:rsidRDefault="00EA58B4" w:rsidP="00EA58B4">
      <w:pPr>
        <w:autoSpaceDE w:val="0"/>
        <w:autoSpaceDN w:val="0"/>
        <w:adjustRightInd w:val="0"/>
        <w:jc w:val="both"/>
        <w:rPr>
          <w:rFonts w:ascii="ArialMT" w:hAnsi="ArialMT" w:cs="ArialMT"/>
          <w:szCs w:val="24"/>
          <w:lang w:eastAsia="en-GB"/>
        </w:rPr>
      </w:pPr>
      <w:r>
        <w:rPr>
          <w:rFonts w:ascii="ArialMT" w:hAnsi="ArialMT" w:cs="ArialMT"/>
          <w:szCs w:val="24"/>
          <w:lang w:eastAsia="en-GB"/>
        </w:rPr>
        <w:t xml:space="preserve">(a) the need for maintaining the free movement of </w:t>
      </w:r>
      <w:proofErr w:type="gramStart"/>
      <w:r>
        <w:rPr>
          <w:rFonts w:ascii="ArialMT" w:hAnsi="ArialMT" w:cs="ArialMT"/>
          <w:szCs w:val="24"/>
          <w:lang w:eastAsia="en-GB"/>
        </w:rPr>
        <w:t>traffic;</w:t>
      </w:r>
      <w:proofErr w:type="gramEnd"/>
    </w:p>
    <w:p w14:paraId="13522660" w14:textId="77777777" w:rsidR="00EA58B4" w:rsidRDefault="00EA58B4" w:rsidP="00EA58B4">
      <w:pPr>
        <w:autoSpaceDE w:val="0"/>
        <w:autoSpaceDN w:val="0"/>
        <w:adjustRightInd w:val="0"/>
        <w:jc w:val="both"/>
        <w:rPr>
          <w:rFonts w:ascii="ArialMT" w:hAnsi="ArialMT" w:cs="ArialMT"/>
          <w:szCs w:val="24"/>
          <w:lang w:eastAsia="en-GB"/>
        </w:rPr>
      </w:pPr>
      <w:r>
        <w:rPr>
          <w:rFonts w:ascii="ArialMT" w:hAnsi="ArialMT" w:cs="ArialMT"/>
          <w:szCs w:val="24"/>
          <w:lang w:eastAsia="en-GB"/>
        </w:rPr>
        <w:t xml:space="preserve">(b) the need for maintaining reasonable access to premises; and </w:t>
      </w:r>
    </w:p>
    <w:p w14:paraId="5196F908" w14:textId="77777777" w:rsidR="00EA58B4" w:rsidRDefault="00EA58B4" w:rsidP="00EA58B4">
      <w:pPr>
        <w:autoSpaceDE w:val="0"/>
        <w:autoSpaceDN w:val="0"/>
        <w:adjustRightInd w:val="0"/>
        <w:jc w:val="both"/>
        <w:rPr>
          <w:rFonts w:ascii="ArialMT" w:hAnsi="ArialMT" w:cs="ArialMT"/>
          <w:szCs w:val="24"/>
          <w:lang w:eastAsia="en-GB"/>
        </w:rPr>
      </w:pPr>
      <w:r>
        <w:rPr>
          <w:rFonts w:ascii="ArialMT" w:hAnsi="ArialMT" w:cs="ArialMT"/>
          <w:szCs w:val="24"/>
          <w:lang w:eastAsia="en-GB"/>
        </w:rPr>
        <w:t>(c) the extent to which off-street parking accommodation, whether in the open or</w:t>
      </w:r>
    </w:p>
    <w:p w14:paraId="27DC7EAD" w14:textId="77777777" w:rsidR="00EA58B4" w:rsidRDefault="00EA58B4" w:rsidP="00EA58B4">
      <w:pPr>
        <w:autoSpaceDE w:val="0"/>
        <w:autoSpaceDN w:val="0"/>
        <w:adjustRightInd w:val="0"/>
        <w:jc w:val="both"/>
        <w:rPr>
          <w:rFonts w:ascii="ArialMT" w:hAnsi="ArialMT" w:cs="ArialMT"/>
          <w:szCs w:val="24"/>
          <w:lang w:eastAsia="en-GB"/>
        </w:rPr>
      </w:pPr>
      <w:r>
        <w:rPr>
          <w:rFonts w:ascii="ArialMT" w:hAnsi="ArialMT" w:cs="ArialMT"/>
          <w:szCs w:val="24"/>
          <w:lang w:eastAsia="en-GB"/>
        </w:rPr>
        <w:t>under cover, is available in the neighbourhood or the provision of such parking</w:t>
      </w:r>
    </w:p>
    <w:p w14:paraId="50F4735C" w14:textId="77777777" w:rsidR="00EA58B4" w:rsidRDefault="00EA58B4" w:rsidP="00EA58B4">
      <w:pPr>
        <w:autoSpaceDE w:val="0"/>
        <w:autoSpaceDN w:val="0"/>
        <w:adjustRightInd w:val="0"/>
        <w:jc w:val="both"/>
        <w:rPr>
          <w:rFonts w:ascii="ArialMT" w:hAnsi="ArialMT" w:cs="ArialMT"/>
          <w:szCs w:val="24"/>
          <w:lang w:eastAsia="en-GB"/>
        </w:rPr>
      </w:pPr>
      <w:r>
        <w:rPr>
          <w:rFonts w:ascii="ArialMT" w:hAnsi="ArialMT" w:cs="ArialMT"/>
          <w:szCs w:val="24"/>
          <w:lang w:eastAsia="en-GB"/>
        </w:rPr>
        <w:t>accommodation is likely to be encouraged there by the designation of parking</w:t>
      </w:r>
    </w:p>
    <w:p w14:paraId="4CFA7952" w14:textId="77777777" w:rsidR="00EA58B4" w:rsidRDefault="00EA58B4" w:rsidP="00EA58B4">
      <w:pPr>
        <w:autoSpaceDE w:val="0"/>
        <w:autoSpaceDN w:val="0"/>
        <w:adjustRightInd w:val="0"/>
        <w:jc w:val="both"/>
        <w:rPr>
          <w:rFonts w:ascii="ArialMT" w:hAnsi="ArialMT" w:cs="ArialMT"/>
          <w:szCs w:val="24"/>
          <w:lang w:eastAsia="en-GB"/>
        </w:rPr>
      </w:pPr>
      <w:r>
        <w:rPr>
          <w:rFonts w:ascii="ArialMT" w:hAnsi="ArialMT" w:cs="ArialMT"/>
          <w:szCs w:val="24"/>
          <w:lang w:eastAsia="en-GB"/>
        </w:rPr>
        <w:t>places under this section (45 of the RTRA).</w:t>
      </w:r>
    </w:p>
    <w:p w14:paraId="400D2404" w14:textId="77777777" w:rsidR="00EA58B4" w:rsidRDefault="00EA58B4" w:rsidP="00EA58B4">
      <w:pPr>
        <w:autoSpaceDE w:val="0"/>
        <w:autoSpaceDN w:val="0"/>
        <w:adjustRightInd w:val="0"/>
        <w:jc w:val="both"/>
        <w:rPr>
          <w:rFonts w:ascii="ArialMT" w:hAnsi="ArialMT" w:cs="ArialMT"/>
          <w:szCs w:val="24"/>
          <w:lang w:eastAsia="en-GB"/>
        </w:rPr>
      </w:pPr>
    </w:p>
    <w:p w14:paraId="532B9680" w14:textId="77777777" w:rsidR="00EA58B4" w:rsidRDefault="00EA58B4" w:rsidP="00EA58B4">
      <w:pPr>
        <w:autoSpaceDE w:val="0"/>
        <w:autoSpaceDN w:val="0"/>
        <w:adjustRightInd w:val="0"/>
        <w:jc w:val="both"/>
        <w:rPr>
          <w:rFonts w:ascii="ArialMT" w:hAnsi="ArialMT" w:cs="ArialMT"/>
          <w:szCs w:val="24"/>
          <w:lang w:eastAsia="en-GB"/>
        </w:rPr>
      </w:pPr>
      <w:r>
        <w:rPr>
          <w:rFonts w:ascii="ArialMT" w:hAnsi="ArialMT" w:cs="ArialMT"/>
          <w:szCs w:val="24"/>
          <w:lang w:eastAsia="en-GB"/>
        </w:rPr>
        <w:t>Section 55 of the RTRA 1984 makes provision for the monies raised under</w:t>
      </w:r>
    </w:p>
    <w:p w14:paraId="4A399FAA" w14:textId="77777777" w:rsidR="00EA58B4" w:rsidRDefault="00EA58B4" w:rsidP="00EA58B4">
      <w:pPr>
        <w:autoSpaceDE w:val="0"/>
        <w:autoSpaceDN w:val="0"/>
        <w:adjustRightInd w:val="0"/>
        <w:jc w:val="both"/>
        <w:rPr>
          <w:rFonts w:ascii="ArialMT" w:hAnsi="ArialMT" w:cs="ArialMT"/>
          <w:szCs w:val="24"/>
          <w:lang w:eastAsia="en-GB"/>
        </w:rPr>
      </w:pPr>
      <w:r>
        <w:rPr>
          <w:rFonts w:ascii="ArialMT" w:hAnsi="ArialMT" w:cs="ArialMT"/>
          <w:szCs w:val="24"/>
          <w:lang w:eastAsia="en-GB"/>
        </w:rPr>
        <w:t>section 45 of the RTRA 1984, in that it provides for the creation of a ring-fenced</w:t>
      </w:r>
    </w:p>
    <w:p w14:paraId="1FAF1D91" w14:textId="77777777" w:rsidR="00EA58B4" w:rsidRDefault="00EA58B4" w:rsidP="00EA58B4">
      <w:pPr>
        <w:autoSpaceDE w:val="0"/>
        <w:autoSpaceDN w:val="0"/>
        <w:adjustRightInd w:val="0"/>
        <w:jc w:val="both"/>
        <w:rPr>
          <w:rFonts w:ascii="ArialMT" w:hAnsi="ArialMT" w:cs="ArialMT"/>
          <w:szCs w:val="24"/>
          <w:lang w:eastAsia="en-GB"/>
        </w:rPr>
      </w:pPr>
      <w:r>
        <w:rPr>
          <w:rFonts w:ascii="ArialMT" w:hAnsi="ArialMT" w:cs="ArialMT"/>
          <w:szCs w:val="24"/>
          <w:lang w:eastAsia="en-GB"/>
        </w:rPr>
        <w:t>account (the SPA – Special Parking Account) into which monies raised through</w:t>
      </w:r>
    </w:p>
    <w:p w14:paraId="1C0E113B" w14:textId="77777777" w:rsidR="00EA58B4" w:rsidRDefault="00EA58B4" w:rsidP="00EA58B4">
      <w:pPr>
        <w:autoSpaceDE w:val="0"/>
        <w:autoSpaceDN w:val="0"/>
        <w:adjustRightInd w:val="0"/>
        <w:jc w:val="both"/>
        <w:rPr>
          <w:rFonts w:ascii="ArialMT" w:hAnsi="ArialMT" w:cs="ArialMT"/>
          <w:szCs w:val="24"/>
          <w:lang w:eastAsia="en-GB"/>
        </w:rPr>
      </w:pPr>
      <w:r>
        <w:rPr>
          <w:rFonts w:ascii="ArialMT" w:hAnsi="ArialMT" w:cs="ArialMT"/>
          <w:szCs w:val="24"/>
          <w:lang w:eastAsia="en-GB"/>
        </w:rPr>
        <w:t>the operation of parking places must be placed, and for the application of any</w:t>
      </w:r>
    </w:p>
    <w:p w14:paraId="62B7B7D5" w14:textId="77777777" w:rsidR="00EA58B4" w:rsidRDefault="00EA58B4" w:rsidP="00EA58B4">
      <w:pPr>
        <w:autoSpaceDE w:val="0"/>
        <w:autoSpaceDN w:val="0"/>
        <w:adjustRightInd w:val="0"/>
        <w:jc w:val="both"/>
        <w:rPr>
          <w:rFonts w:ascii="ArialMT" w:hAnsi="ArialMT" w:cs="ArialMT"/>
          <w:szCs w:val="24"/>
          <w:lang w:eastAsia="en-GB"/>
        </w:rPr>
      </w:pPr>
      <w:r>
        <w:rPr>
          <w:rFonts w:ascii="ArialMT" w:hAnsi="ArialMT" w:cs="ArialMT"/>
          <w:szCs w:val="24"/>
          <w:lang w:eastAsia="en-GB"/>
        </w:rPr>
        <w:t>surplus funds. Any surplus generated is appropriated into the Council’s General</w:t>
      </w:r>
    </w:p>
    <w:p w14:paraId="3D145772" w14:textId="77777777" w:rsidR="00EA58B4" w:rsidRDefault="00EA58B4" w:rsidP="00EA58B4">
      <w:pPr>
        <w:autoSpaceDE w:val="0"/>
        <w:autoSpaceDN w:val="0"/>
        <w:adjustRightInd w:val="0"/>
        <w:jc w:val="both"/>
        <w:rPr>
          <w:rFonts w:ascii="ArialMT" w:hAnsi="ArialMT" w:cs="ArialMT"/>
          <w:szCs w:val="24"/>
          <w:lang w:eastAsia="en-GB"/>
        </w:rPr>
      </w:pPr>
      <w:r>
        <w:rPr>
          <w:rFonts w:ascii="ArialMT" w:hAnsi="ArialMT" w:cs="ArialMT"/>
          <w:szCs w:val="24"/>
          <w:lang w:eastAsia="en-GB"/>
        </w:rPr>
        <w:t>Fund at the year end and can be spent on matters defined in section 55(4) of</w:t>
      </w:r>
    </w:p>
    <w:p w14:paraId="506B8DED" w14:textId="77777777" w:rsidR="00EA58B4" w:rsidRDefault="00EA58B4" w:rsidP="00EA58B4">
      <w:pPr>
        <w:autoSpaceDE w:val="0"/>
        <w:autoSpaceDN w:val="0"/>
        <w:adjustRightInd w:val="0"/>
        <w:jc w:val="both"/>
        <w:rPr>
          <w:rFonts w:ascii="ArialMT" w:hAnsi="ArialMT" w:cs="ArialMT"/>
          <w:szCs w:val="24"/>
          <w:lang w:eastAsia="en-GB"/>
        </w:rPr>
      </w:pPr>
      <w:r>
        <w:rPr>
          <w:rFonts w:ascii="ArialMT" w:hAnsi="ArialMT" w:cs="ArialMT"/>
          <w:szCs w:val="24"/>
          <w:lang w:eastAsia="en-GB"/>
        </w:rPr>
        <w:t>the RTRA 1984 Act (mainly transport and highways matters, which are listed in</w:t>
      </w:r>
    </w:p>
    <w:p w14:paraId="49308AF3" w14:textId="77777777" w:rsidR="00EA58B4" w:rsidRDefault="00EA58B4" w:rsidP="00EA58B4">
      <w:pPr>
        <w:autoSpaceDE w:val="0"/>
        <w:autoSpaceDN w:val="0"/>
        <w:adjustRightInd w:val="0"/>
        <w:jc w:val="both"/>
        <w:rPr>
          <w:rFonts w:ascii="ArialMT" w:hAnsi="ArialMT" w:cs="ArialMT"/>
          <w:szCs w:val="24"/>
          <w:lang w:eastAsia="en-GB"/>
        </w:rPr>
      </w:pPr>
      <w:r>
        <w:rPr>
          <w:rFonts w:ascii="ArialMT" w:hAnsi="ArialMT" w:cs="ArialMT"/>
          <w:szCs w:val="24"/>
          <w:lang w:eastAsia="en-GB"/>
        </w:rPr>
        <w:lastRenderedPageBreak/>
        <w:t>the Act).</w:t>
      </w:r>
    </w:p>
    <w:p w14:paraId="664F5B8D" w14:textId="77777777" w:rsidR="00EA58B4" w:rsidRDefault="00EA58B4" w:rsidP="00EA58B4">
      <w:pPr>
        <w:autoSpaceDE w:val="0"/>
        <w:autoSpaceDN w:val="0"/>
        <w:adjustRightInd w:val="0"/>
        <w:jc w:val="both"/>
        <w:rPr>
          <w:rFonts w:ascii="ArialMT" w:hAnsi="ArialMT" w:cs="ArialMT"/>
          <w:szCs w:val="24"/>
          <w:lang w:eastAsia="en-GB"/>
        </w:rPr>
      </w:pPr>
    </w:p>
    <w:p w14:paraId="0D7810CF" w14:textId="77777777" w:rsidR="00EA58B4" w:rsidRDefault="00EA58B4" w:rsidP="00EA58B4">
      <w:pPr>
        <w:autoSpaceDE w:val="0"/>
        <w:autoSpaceDN w:val="0"/>
        <w:adjustRightInd w:val="0"/>
        <w:jc w:val="both"/>
        <w:rPr>
          <w:rFonts w:ascii="ArialMT" w:hAnsi="ArialMT" w:cs="ArialMT"/>
          <w:szCs w:val="24"/>
          <w:lang w:eastAsia="en-GB"/>
        </w:rPr>
      </w:pPr>
      <w:r>
        <w:rPr>
          <w:rFonts w:ascii="ArialMT" w:hAnsi="ArialMT" w:cs="ArialMT"/>
          <w:szCs w:val="24"/>
          <w:lang w:eastAsia="en-GB"/>
        </w:rPr>
        <w:t>Section 122 of the RTRA 1984 imposes a general duty on local authorities when</w:t>
      </w:r>
    </w:p>
    <w:p w14:paraId="52298DD8" w14:textId="77777777" w:rsidR="00EA58B4" w:rsidRDefault="00EA58B4" w:rsidP="00EA58B4">
      <w:pPr>
        <w:autoSpaceDE w:val="0"/>
        <w:autoSpaceDN w:val="0"/>
        <w:adjustRightInd w:val="0"/>
        <w:jc w:val="both"/>
        <w:rPr>
          <w:rFonts w:ascii="ArialMT" w:hAnsi="ArialMT" w:cs="ArialMT"/>
          <w:szCs w:val="24"/>
          <w:lang w:eastAsia="en-GB"/>
        </w:rPr>
      </w:pPr>
      <w:r>
        <w:rPr>
          <w:rFonts w:ascii="ArialMT" w:hAnsi="ArialMT" w:cs="ArialMT"/>
          <w:szCs w:val="24"/>
          <w:lang w:eastAsia="en-GB"/>
        </w:rPr>
        <w:t>exercising functions under the RTRA. It provides, insofar as is material, as follows:</w:t>
      </w:r>
    </w:p>
    <w:p w14:paraId="1F337D99" w14:textId="77777777" w:rsidR="00EA58B4" w:rsidRDefault="00EA58B4" w:rsidP="00EA58B4">
      <w:pPr>
        <w:autoSpaceDE w:val="0"/>
        <w:autoSpaceDN w:val="0"/>
        <w:adjustRightInd w:val="0"/>
        <w:jc w:val="both"/>
        <w:rPr>
          <w:rFonts w:ascii="Arial-ItalicMT" w:hAnsi="Arial-ItalicMT" w:cs="Arial-ItalicMT"/>
          <w:i/>
          <w:iCs/>
          <w:szCs w:val="24"/>
          <w:lang w:eastAsia="en-GB"/>
        </w:rPr>
      </w:pPr>
      <w:r>
        <w:rPr>
          <w:rFonts w:ascii="Arial-ItalicMT" w:hAnsi="Arial-ItalicMT" w:cs="Arial-ItalicMT"/>
          <w:i/>
          <w:iCs/>
          <w:szCs w:val="24"/>
          <w:lang w:eastAsia="en-GB"/>
        </w:rPr>
        <w:t>"(1) It shall be the duty of every local authority upon whom functions are conferred</w:t>
      </w:r>
    </w:p>
    <w:p w14:paraId="1566202A" w14:textId="77777777" w:rsidR="00EA58B4" w:rsidRDefault="00EA58B4" w:rsidP="00EA58B4">
      <w:pPr>
        <w:autoSpaceDE w:val="0"/>
        <w:autoSpaceDN w:val="0"/>
        <w:adjustRightInd w:val="0"/>
        <w:jc w:val="both"/>
        <w:rPr>
          <w:rFonts w:ascii="Arial-ItalicMT" w:hAnsi="Arial-ItalicMT" w:cs="Arial-ItalicMT"/>
          <w:i/>
          <w:iCs/>
          <w:szCs w:val="24"/>
          <w:lang w:eastAsia="en-GB"/>
        </w:rPr>
      </w:pPr>
      <w:r>
        <w:rPr>
          <w:rFonts w:ascii="Arial-ItalicMT" w:hAnsi="Arial-ItalicMT" w:cs="Arial-ItalicMT"/>
          <w:i/>
          <w:iCs/>
          <w:szCs w:val="24"/>
          <w:lang w:eastAsia="en-GB"/>
        </w:rPr>
        <w:t>by or under this Act, so to exercise the functions conferred on them by this Act as</w:t>
      </w:r>
    </w:p>
    <w:p w14:paraId="09ECACF9" w14:textId="77777777" w:rsidR="00EA58B4" w:rsidRDefault="00EA58B4" w:rsidP="00EA58B4">
      <w:pPr>
        <w:autoSpaceDE w:val="0"/>
        <w:autoSpaceDN w:val="0"/>
        <w:adjustRightInd w:val="0"/>
        <w:jc w:val="both"/>
        <w:rPr>
          <w:rFonts w:ascii="Arial-ItalicMT" w:hAnsi="Arial-ItalicMT" w:cs="Arial-ItalicMT"/>
          <w:i/>
          <w:iCs/>
          <w:szCs w:val="24"/>
          <w:lang w:eastAsia="en-GB"/>
        </w:rPr>
      </w:pPr>
      <w:r>
        <w:rPr>
          <w:rFonts w:ascii="Arial-ItalicMT" w:hAnsi="Arial-ItalicMT" w:cs="Arial-ItalicMT"/>
          <w:i/>
          <w:iCs/>
          <w:szCs w:val="24"/>
          <w:lang w:eastAsia="en-GB"/>
        </w:rPr>
        <w:t>(</w:t>
      </w:r>
      <w:proofErr w:type="gramStart"/>
      <w:r>
        <w:rPr>
          <w:rFonts w:ascii="Arial-ItalicMT" w:hAnsi="Arial-ItalicMT" w:cs="Arial-ItalicMT"/>
          <w:i/>
          <w:iCs/>
          <w:szCs w:val="24"/>
          <w:lang w:eastAsia="en-GB"/>
        </w:rPr>
        <w:t>so</w:t>
      </w:r>
      <w:proofErr w:type="gramEnd"/>
      <w:r>
        <w:rPr>
          <w:rFonts w:ascii="Arial-ItalicMT" w:hAnsi="Arial-ItalicMT" w:cs="Arial-ItalicMT"/>
          <w:i/>
          <w:iCs/>
          <w:szCs w:val="24"/>
          <w:lang w:eastAsia="en-GB"/>
        </w:rPr>
        <w:t xml:space="preserve"> far as practicable having regard to the matters specified in subsection (2) below)</w:t>
      </w:r>
    </w:p>
    <w:p w14:paraId="57B48B65" w14:textId="77777777" w:rsidR="00EA58B4" w:rsidRDefault="00EA58B4" w:rsidP="00EA58B4">
      <w:pPr>
        <w:autoSpaceDE w:val="0"/>
        <w:autoSpaceDN w:val="0"/>
        <w:adjustRightInd w:val="0"/>
        <w:jc w:val="both"/>
        <w:rPr>
          <w:rFonts w:ascii="Arial-ItalicMT" w:hAnsi="Arial-ItalicMT" w:cs="Arial-ItalicMT"/>
          <w:i/>
          <w:iCs/>
          <w:szCs w:val="24"/>
          <w:lang w:eastAsia="en-GB"/>
        </w:rPr>
      </w:pPr>
      <w:r>
        <w:rPr>
          <w:rFonts w:ascii="Arial-ItalicMT" w:hAnsi="Arial-ItalicMT" w:cs="Arial-ItalicMT"/>
          <w:i/>
          <w:iCs/>
          <w:szCs w:val="24"/>
          <w:lang w:eastAsia="en-GB"/>
        </w:rPr>
        <w:t xml:space="preserve">to secure the expeditious, </w:t>
      </w:r>
      <w:proofErr w:type="gramStart"/>
      <w:r>
        <w:rPr>
          <w:rFonts w:ascii="Arial-ItalicMT" w:hAnsi="Arial-ItalicMT" w:cs="Arial-ItalicMT"/>
          <w:i/>
          <w:iCs/>
          <w:szCs w:val="24"/>
          <w:lang w:eastAsia="en-GB"/>
        </w:rPr>
        <w:t>convenient</w:t>
      </w:r>
      <w:proofErr w:type="gramEnd"/>
      <w:r>
        <w:rPr>
          <w:rFonts w:ascii="Arial-ItalicMT" w:hAnsi="Arial-ItalicMT" w:cs="Arial-ItalicMT"/>
          <w:i/>
          <w:iCs/>
          <w:szCs w:val="24"/>
          <w:lang w:eastAsia="en-GB"/>
        </w:rPr>
        <w:t xml:space="preserve"> and safe movement of vehicular and other</w:t>
      </w:r>
    </w:p>
    <w:p w14:paraId="445491B6" w14:textId="77777777" w:rsidR="00EA58B4" w:rsidRDefault="00EA58B4" w:rsidP="00EA58B4">
      <w:pPr>
        <w:autoSpaceDE w:val="0"/>
        <w:autoSpaceDN w:val="0"/>
        <w:adjustRightInd w:val="0"/>
        <w:jc w:val="both"/>
        <w:rPr>
          <w:rFonts w:ascii="Arial-ItalicMT" w:hAnsi="Arial-ItalicMT" w:cs="Arial-ItalicMT"/>
          <w:i/>
          <w:iCs/>
          <w:szCs w:val="24"/>
          <w:lang w:eastAsia="en-GB"/>
        </w:rPr>
      </w:pPr>
      <w:r>
        <w:rPr>
          <w:rFonts w:ascii="Arial-ItalicMT" w:hAnsi="Arial-ItalicMT" w:cs="Arial-ItalicMT"/>
          <w:i/>
          <w:iCs/>
          <w:szCs w:val="24"/>
          <w:lang w:eastAsia="en-GB"/>
        </w:rPr>
        <w:t>traffic (including pedestrians) and the provision of suitable and adequate parking</w:t>
      </w:r>
    </w:p>
    <w:p w14:paraId="7B66BBCB" w14:textId="77777777" w:rsidR="00EA58B4" w:rsidRDefault="00EA58B4" w:rsidP="00EA58B4">
      <w:pPr>
        <w:autoSpaceDE w:val="0"/>
        <w:autoSpaceDN w:val="0"/>
        <w:adjustRightInd w:val="0"/>
        <w:jc w:val="both"/>
        <w:rPr>
          <w:rFonts w:ascii="Arial-ItalicMT" w:hAnsi="Arial-ItalicMT" w:cs="Arial-ItalicMT"/>
          <w:i/>
          <w:iCs/>
          <w:szCs w:val="24"/>
          <w:lang w:eastAsia="en-GB"/>
        </w:rPr>
      </w:pPr>
      <w:r>
        <w:rPr>
          <w:rFonts w:ascii="Arial-ItalicMT" w:hAnsi="Arial-ItalicMT" w:cs="Arial-ItalicMT"/>
          <w:i/>
          <w:iCs/>
          <w:szCs w:val="24"/>
          <w:lang w:eastAsia="en-GB"/>
        </w:rPr>
        <w:t>facilities on and off the highway…</w:t>
      </w:r>
    </w:p>
    <w:p w14:paraId="2F3F624B" w14:textId="77777777" w:rsidR="00EA58B4" w:rsidRDefault="00EA58B4" w:rsidP="00EA58B4">
      <w:pPr>
        <w:autoSpaceDE w:val="0"/>
        <w:autoSpaceDN w:val="0"/>
        <w:adjustRightInd w:val="0"/>
        <w:jc w:val="both"/>
        <w:rPr>
          <w:rFonts w:ascii="Arial-ItalicMT" w:hAnsi="Arial-ItalicMT" w:cs="Arial-ItalicMT"/>
          <w:i/>
          <w:iCs/>
          <w:szCs w:val="24"/>
          <w:lang w:eastAsia="en-GB"/>
        </w:rPr>
      </w:pPr>
      <w:r>
        <w:rPr>
          <w:rFonts w:ascii="Arial-ItalicMT" w:hAnsi="Arial-ItalicMT" w:cs="Arial-ItalicMT"/>
          <w:i/>
          <w:iCs/>
          <w:szCs w:val="24"/>
          <w:lang w:eastAsia="en-GB"/>
        </w:rPr>
        <w:t>(2) The matters referred to in subsection (1) above as being specified in this</w:t>
      </w:r>
    </w:p>
    <w:p w14:paraId="2DAAA15A" w14:textId="77777777" w:rsidR="00EA58B4" w:rsidRDefault="00EA58B4" w:rsidP="00EA58B4">
      <w:pPr>
        <w:autoSpaceDE w:val="0"/>
        <w:autoSpaceDN w:val="0"/>
        <w:adjustRightInd w:val="0"/>
        <w:jc w:val="both"/>
        <w:rPr>
          <w:rFonts w:ascii="Arial-ItalicMT" w:hAnsi="Arial-ItalicMT" w:cs="Arial-ItalicMT"/>
          <w:i/>
          <w:iCs/>
          <w:szCs w:val="24"/>
          <w:lang w:eastAsia="en-GB"/>
        </w:rPr>
      </w:pPr>
      <w:proofErr w:type="gramStart"/>
      <w:r>
        <w:rPr>
          <w:rFonts w:ascii="Arial-ItalicMT" w:hAnsi="Arial-ItalicMT" w:cs="Arial-ItalicMT"/>
          <w:i/>
          <w:iCs/>
          <w:szCs w:val="24"/>
          <w:lang w:eastAsia="en-GB"/>
        </w:rPr>
        <w:t>subsection</w:t>
      </w:r>
      <w:proofErr w:type="gramEnd"/>
      <w:r>
        <w:rPr>
          <w:rFonts w:ascii="Arial-ItalicMT" w:hAnsi="Arial-ItalicMT" w:cs="Arial-ItalicMT"/>
          <w:i/>
          <w:iCs/>
          <w:szCs w:val="24"/>
          <w:lang w:eastAsia="en-GB"/>
        </w:rPr>
        <w:t xml:space="preserve"> are—</w:t>
      </w:r>
    </w:p>
    <w:p w14:paraId="05FCC5D4" w14:textId="77777777" w:rsidR="00EA58B4" w:rsidRDefault="00EA58B4" w:rsidP="00EA58B4">
      <w:pPr>
        <w:autoSpaceDE w:val="0"/>
        <w:autoSpaceDN w:val="0"/>
        <w:adjustRightInd w:val="0"/>
        <w:jc w:val="both"/>
        <w:rPr>
          <w:rFonts w:ascii="Arial-ItalicMT" w:hAnsi="Arial-ItalicMT" w:cs="Arial-ItalicMT"/>
          <w:i/>
          <w:iCs/>
          <w:szCs w:val="24"/>
          <w:lang w:eastAsia="en-GB"/>
        </w:rPr>
      </w:pPr>
      <w:r>
        <w:rPr>
          <w:rFonts w:ascii="Arial-ItalicMT" w:hAnsi="Arial-ItalicMT" w:cs="Arial-ItalicMT"/>
          <w:i/>
          <w:iCs/>
          <w:szCs w:val="24"/>
          <w:lang w:eastAsia="en-GB"/>
        </w:rPr>
        <w:t xml:space="preserve">(a) the desirability of securing and maintaining reasonable access to </w:t>
      </w:r>
      <w:proofErr w:type="gramStart"/>
      <w:r>
        <w:rPr>
          <w:rFonts w:ascii="Arial-ItalicMT" w:hAnsi="Arial-ItalicMT" w:cs="Arial-ItalicMT"/>
          <w:i/>
          <w:iCs/>
          <w:szCs w:val="24"/>
          <w:lang w:eastAsia="en-GB"/>
        </w:rPr>
        <w:t>premises;</w:t>
      </w:r>
      <w:proofErr w:type="gramEnd"/>
    </w:p>
    <w:p w14:paraId="4D3DF81C" w14:textId="77777777" w:rsidR="00EA58B4" w:rsidRDefault="00EA58B4" w:rsidP="00EA58B4">
      <w:pPr>
        <w:autoSpaceDE w:val="0"/>
        <w:autoSpaceDN w:val="0"/>
        <w:adjustRightInd w:val="0"/>
        <w:jc w:val="both"/>
        <w:rPr>
          <w:rFonts w:ascii="Arial-ItalicMT" w:hAnsi="Arial-ItalicMT" w:cs="Arial-ItalicMT"/>
          <w:i/>
          <w:iCs/>
          <w:szCs w:val="24"/>
          <w:lang w:eastAsia="en-GB"/>
        </w:rPr>
      </w:pPr>
      <w:r>
        <w:rPr>
          <w:rFonts w:ascii="Arial-ItalicMT" w:hAnsi="Arial-ItalicMT" w:cs="Arial-ItalicMT"/>
          <w:i/>
          <w:iCs/>
          <w:szCs w:val="24"/>
          <w:lang w:eastAsia="en-GB"/>
        </w:rPr>
        <w:t>(b) the effect on the amenities of any locality affected and (without prejudice to the</w:t>
      </w:r>
    </w:p>
    <w:p w14:paraId="5D641673" w14:textId="77777777" w:rsidR="00EA58B4" w:rsidRDefault="00EA58B4" w:rsidP="00EA58B4">
      <w:pPr>
        <w:autoSpaceDE w:val="0"/>
        <w:autoSpaceDN w:val="0"/>
        <w:adjustRightInd w:val="0"/>
        <w:jc w:val="both"/>
        <w:rPr>
          <w:rFonts w:ascii="Arial-ItalicMT" w:hAnsi="Arial-ItalicMT" w:cs="Arial-ItalicMT"/>
          <w:i/>
          <w:iCs/>
          <w:szCs w:val="24"/>
          <w:lang w:eastAsia="en-GB"/>
        </w:rPr>
      </w:pPr>
      <w:r>
        <w:rPr>
          <w:rFonts w:ascii="Arial-ItalicMT" w:hAnsi="Arial-ItalicMT" w:cs="Arial-ItalicMT"/>
          <w:i/>
          <w:iCs/>
          <w:szCs w:val="24"/>
          <w:lang w:eastAsia="en-GB"/>
        </w:rPr>
        <w:t>generality of this paragraph) the importance of regulating and restricting the use of</w:t>
      </w:r>
    </w:p>
    <w:p w14:paraId="63BE102B" w14:textId="77777777" w:rsidR="00EA58B4" w:rsidRDefault="00EA58B4" w:rsidP="00EA58B4">
      <w:pPr>
        <w:autoSpaceDE w:val="0"/>
        <w:autoSpaceDN w:val="0"/>
        <w:adjustRightInd w:val="0"/>
        <w:jc w:val="both"/>
        <w:rPr>
          <w:rFonts w:ascii="Arial-ItalicMT" w:hAnsi="Arial-ItalicMT" w:cs="Arial-ItalicMT"/>
          <w:i/>
          <w:iCs/>
          <w:szCs w:val="24"/>
          <w:lang w:eastAsia="en-GB"/>
        </w:rPr>
      </w:pPr>
      <w:r>
        <w:rPr>
          <w:rFonts w:ascii="Arial-ItalicMT" w:hAnsi="Arial-ItalicMT" w:cs="Arial-ItalicMT"/>
          <w:i/>
          <w:iCs/>
          <w:szCs w:val="24"/>
          <w:lang w:eastAsia="en-GB"/>
        </w:rPr>
        <w:t xml:space="preserve">roads by heavy commercial vehicles, </w:t>
      </w:r>
      <w:proofErr w:type="gramStart"/>
      <w:r>
        <w:rPr>
          <w:rFonts w:ascii="Arial-ItalicMT" w:hAnsi="Arial-ItalicMT" w:cs="Arial-ItalicMT"/>
          <w:i/>
          <w:iCs/>
          <w:szCs w:val="24"/>
          <w:lang w:eastAsia="en-GB"/>
        </w:rPr>
        <w:t>so as to</w:t>
      </w:r>
      <w:proofErr w:type="gramEnd"/>
      <w:r>
        <w:rPr>
          <w:rFonts w:ascii="Arial-ItalicMT" w:hAnsi="Arial-ItalicMT" w:cs="Arial-ItalicMT"/>
          <w:i/>
          <w:iCs/>
          <w:szCs w:val="24"/>
          <w:lang w:eastAsia="en-GB"/>
        </w:rPr>
        <w:t xml:space="preserve"> preserve or improve the amenities of</w:t>
      </w:r>
    </w:p>
    <w:p w14:paraId="0D7F2C06" w14:textId="77777777" w:rsidR="00EA58B4" w:rsidRDefault="00EA58B4" w:rsidP="00EA58B4">
      <w:pPr>
        <w:autoSpaceDE w:val="0"/>
        <w:autoSpaceDN w:val="0"/>
        <w:adjustRightInd w:val="0"/>
        <w:jc w:val="both"/>
        <w:rPr>
          <w:rFonts w:ascii="Arial-ItalicMT" w:hAnsi="Arial-ItalicMT" w:cs="Arial-ItalicMT"/>
          <w:i/>
          <w:iCs/>
          <w:szCs w:val="24"/>
          <w:lang w:eastAsia="en-GB"/>
        </w:rPr>
      </w:pPr>
      <w:r>
        <w:rPr>
          <w:rFonts w:ascii="Arial-ItalicMT" w:hAnsi="Arial-ItalicMT" w:cs="Arial-ItalicMT"/>
          <w:i/>
          <w:iCs/>
          <w:szCs w:val="24"/>
          <w:lang w:eastAsia="en-GB"/>
        </w:rPr>
        <w:t xml:space="preserve">the areas through which the roads </w:t>
      </w:r>
      <w:proofErr w:type="gramStart"/>
      <w:r>
        <w:rPr>
          <w:rFonts w:ascii="Arial-ItalicMT" w:hAnsi="Arial-ItalicMT" w:cs="Arial-ItalicMT"/>
          <w:i/>
          <w:iCs/>
          <w:szCs w:val="24"/>
          <w:lang w:eastAsia="en-GB"/>
        </w:rPr>
        <w:t>run;</w:t>
      </w:r>
      <w:proofErr w:type="gramEnd"/>
    </w:p>
    <w:p w14:paraId="62C892F5" w14:textId="77777777" w:rsidR="00EA58B4" w:rsidRDefault="00EA58B4" w:rsidP="00EA58B4">
      <w:pPr>
        <w:autoSpaceDE w:val="0"/>
        <w:autoSpaceDN w:val="0"/>
        <w:adjustRightInd w:val="0"/>
        <w:jc w:val="both"/>
        <w:rPr>
          <w:rFonts w:ascii="Arial-ItalicMT" w:hAnsi="Arial-ItalicMT" w:cs="Arial-ItalicMT"/>
          <w:i/>
          <w:iCs/>
          <w:szCs w:val="24"/>
          <w:lang w:eastAsia="en-GB"/>
        </w:rPr>
      </w:pPr>
      <w:r>
        <w:rPr>
          <w:rFonts w:ascii="Arial-ItalicMT" w:hAnsi="Arial-ItalicMT" w:cs="Arial-ItalicMT"/>
          <w:i/>
          <w:iCs/>
          <w:szCs w:val="24"/>
          <w:lang w:eastAsia="en-GB"/>
        </w:rPr>
        <w:t>(bb) the strategy prepared under section 80 of the Environment Act 1995 (national</w:t>
      </w:r>
    </w:p>
    <w:p w14:paraId="43BAA45C" w14:textId="77777777" w:rsidR="00EA58B4" w:rsidRDefault="00EA58B4" w:rsidP="00EA58B4">
      <w:pPr>
        <w:autoSpaceDE w:val="0"/>
        <w:autoSpaceDN w:val="0"/>
        <w:adjustRightInd w:val="0"/>
        <w:jc w:val="both"/>
        <w:rPr>
          <w:rFonts w:ascii="Arial-ItalicMT" w:hAnsi="Arial-ItalicMT" w:cs="Arial-ItalicMT"/>
          <w:i/>
          <w:iCs/>
          <w:szCs w:val="24"/>
          <w:lang w:eastAsia="en-GB"/>
        </w:rPr>
      </w:pPr>
      <w:r>
        <w:rPr>
          <w:rFonts w:ascii="Arial-ItalicMT" w:hAnsi="Arial-ItalicMT" w:cs="Arial-ItalicMT"/>
          <w:i/>
          <w:iCs/>
          <w:szCs w:val="24"/>
          <w:lang w:eastAsia="en-GB"/>
        </w:rPr>
        <w:t>air quality strategy</w:t>
      </w:r>
      <w:proofErr w:type="gramStart"/>
      <w:r>
        <w:rPr>
          <w:rFonts w:ascii="Arial-ItalicMT" w:hAnsi="Arial-ItalicMT" w:cs="Arial-ItalicMT"/>
          <w:i/>
          <w:iCs/>
          <w:szCs w:val="24"/>
          <w:lang w:eastAsia="en-GB"/>
        </w:rPr>
        <w:t>);</w:t>
      </w:r>
      <w:proofErr w:type="gramEnd"/>
    </w:p>
    <w:p w14:paraId="6A4031B7" w14:textId="77777777" w:rsidR="00EA58B4" w:rsidRDefault="00EA58B4" w:rsidP="00EA58B4">
      <w:pPr>
        <w:autoSpaceDE w:val="0"/>
        <w:autoSpaceDN w:val="0"/>
        <w:adjustRightInd w:val="0"/>
        <w:jc w:val="both"/>
        <w:rPr>
          <w:rFonts w:ascii="Arial-ItalicMT" w:hAnsi="Arial-ItalicMT" w:cs="Arial-ItalicMT"/>
          <w:i/>
          <w:iCs/>
          <w:szCs w:val="24"/>
          <w:lang w:eastAsia="en-GB"/>
        </w:rPr>
      </w:pPr>
      <w:r>
        <w:rPr>
          <w:rFonts w:ascii="Arial-ItalicMT" w:hAnsi="Arial-ItalicMT" w:cs="Arial-ItalicMT"/>
          <w:i/>
          <w:iCs/>
          <w:szCs w:val="24"/>
          <w:lang w:eastAsia="en-GB"/>
        </w:rPr>
        <w:t xml:space="preserve">(c) the importance of facilitating the passage of public service </w:t>
      </w:r>
      <w:proofErr w:type="gramStart"/>
      <w:r>
        <w:rPr>
          <w:rFonts w:ascii="Arial-ItalicMT" w:hAnsi="Arial-ItalicMT" w:cs="Arial-ItalicMT"/>
          <w:i/>
          <w:iCs/>
          <w:szCs w:val="24"/>
          <w:lang w:eastAsia="en-GB"/>
        </w:rPr>
        <w:t>vehicles;</w:t>
      </w:r>
      <w:proofErr w:type="gramEnd"/>
    </w:p>
    <w:p w14:paraId="3BC02095" w14:textId="77777777" w:rsidR="00EA58B4" w:rsidRDefault="00EA58B4" w:rsidP="00EA58B4">
      <w:pPr>
        <w:autoSpaceDE w:val="0"/>
        <w:autoSpaceDN w:val="0"/>
        <w:adjustRightInd w:val="0"/>
        <w:jc w:val="both"/>
        <w:rPr>
          <w:rFonts w:ascii="Arial-ItalicMT" w:hAnsi="Arial-ItalicMT" w:cs="Arial-ItalicMT"/>
          <w:i/>
          <w:iCs/>
          <w:szCs w:val="24"/>
          <w:lang w:eastAsia="en-GB"/>
        </w:rPr>
      </w:pPr>
      <w:r>
        <w:rPr>
          <w:rFonts w:ascii="Arial-ItalicMT" w:hAnsi="Arial-ItalicMT" w:cs="Arial-ItalicMT"/>
          <w:i/>
          <w:iCs/>
          <w:szCs w:val="24"/>
          <w:lang w:eastAsia="en-GB"/>
        </w:rPr>
        <w:t>(d) any other matters appearing to the local authority to be relevant”</w:t>
      </w:r>
    </w:p>
    <w:p w14:paraId="54AECB92" w14:textId="77777777" w:rsidR="00EA58B4" w:rsidRDefault="00EA58B4" w:rsidP="00EA58B4">
      <w:pPr>
        <w:autoSpaceDE w:val="0"/>
        <w:autoSpaceDN w:val="0"/>
        <w:adjustRightInd w:val="0"/>
        <w:jc w:val="both"/>
        <w:rPr>
          <w:rFonts w:ascii="Arial-ItalicMT" w:hAnsi="Arial-ItalicMT" w:cs="Arial-ItalicMT"/>
          <w:i/>
          <w:iCs/>
          <w:szCs w:val="24"/>
          <w:lang w:eastAsia="en-GB"/>
        </w:rPr>
      </w:pPr>
    </w:p>
    <w:p w14:paraId="3ECE525C" w14:textId="399C1709" w:rsidR="00EA58B4" w:rsidRPr="00A11810" w:rsidRDefault="00EA58B4" w:rsidP="00EA58B4">
      <w:pPr>
        <w:autoSpaceDE w:val="0"/>
        <w:autoSpaceDN w:val="0"/>
        <w:adjustRightInd w:val="0"/>
        <w:jc w:val="both"/>
        <w:rPr>
          <w:rFonts w:ascii="ArialMT" w:hAnsi="ArialMT" w:cs="ArialMT"/>
          <w:szCs w:val="24"/>
          <w:lang w:eastAsia="en-GB"/>
        </w:rPr>
      </w:pPr>
      <w:r>
        <w:rPr>
          <w:rFonts w:ascii="ArialMT" w:hAnsi="ArialMT" w:cs="ArialMT"/>
          <w:szCs w:val="24"/>
          <w:lang w:eastAsia="en-GB"/>
        </w:rPr>
        <w:t>If the proposals regarding PCN banding in this report obtain the necessary approval</w:t>
      </w:r>
      <w:r w:rsidR="00D90E94">
        <w:rPr>
          <w:rFonts w:ascii="ArialMT" w:hAnsi="ArialMT" w:cs="ArialMT"/>
          <w:szCs w:val="24"/>
          <w:lang w:eastAsia="en-GB"/>
        </w:rPr>
        <w:t xml:space="preserve"> </w:t>
      </w:r>
      <w:r>
        <w:rPr>
          <w:rFonts w:ascii="ArialMT" w:hAnsi="ArialMT" w:cs="ArialMT"/>
          <w:szCs w:val="24"/>
          <w:lang w:eastAsia="en-GB"/>
        </w:rPr>
        <w:t xml:space="preserve">from LC TEC, the Mayor of </w:t>
      </w:r>
      <w:proofErr w:type="gramStart"/>
      <w:r>
        <w:rPr>
          <w:rFonts w:ascii="ArialMT" w:hAnsi="ArialMT" w:cs="ArialMT"/>
          <w:szCs w:val="24"/>
          <w:lang w:eastAsia="en-GB"/>
        </w:rPr>
        <w:t>London</w:t>
      </w:r>
      <w:proofErr w:type="gramEnd"/>
      <w:r>
        <w:rPr>
          <w:rFonts w:ascii="ArialMT" w:hAnsi="ArialMT" w:cs="ArialMT"/>
          <w:szCs w:val="24"/>
          <w:lang w:eastAsia="en-GB"/>
        </w:rPr>
        <w:t xml:space="preserve"> and the Secretary of State for Transport, they</w:t>
      </w:r>
      <w:r w:rsidR="00D90E94">
        <w:rPr>
          <w:rFonts w:ascii="ArialMT" w:hAnsi="ArialMT" w:cs="ArialMT"/>
          <w:szCs w:val="24"/>
          <w:lang w:eastAsia="en-GB"/>
        </w:rPr>
        <w:t xml:space="preserve"> </w:t>
      </w:r>
      <w:r>
        <w:rPr>
          <w:rFonts w:ascii="ArialMT" w:hAnsi="ArialMT" w:cs="ArialMT"/>
          <w:szCs w:val="24"/>
          <w:lang w:eastAsia="en-GB"/>
        </w:rPr>
        <w:t>will require the amendment of the existing Traffic Management Orders under the</w:t>
      </w:r>
      <w:r w:rsidR="00D90E94">
        <w:rPr>
          <w:rFonts w:ascii="ArialMT" w:hAnsi="ArialMT" w:cs="ArialMT"/>
          <w:szCs w:val="24"/>
          <w:lang w:eastAsia="en-GB"/>
        </w:rPr>
        <w:t xml:space="preserve"> </w:t>
      </w:r>
      <w:r>
        <w:rPr>
          <w:rFonts w:ascii="ArialMT" w:hAnsi="ArialMT" w:cs="ArialMT"/>
          <w:szCs w:val="24"/>
          <w:lang w:eastAsia="en-GB"/>
        </w:rPr>
        <w:t>Road Traffic Regulation Act 1984.</w:t>
      </w:r>
    </w:p>
    <w:p w14:paraId="11F2AC04" w14:textId="4B7EC5A3" w:rsidR="00333FAA" w:rsidRDefault="00333FAA" w:rsidP="00EA58B4">
      <w:pPr>
        <w:pStyle w:val="Heading3"/>
        <w:spacing w:before="480" w:after="240"/>
        <w:ind w:left="0" w:firstLine="0"/>
      </w:pPr>
      <w:r>
        <w:t>Financial Implications</w:t>
      </w:r>
    </w:p>
    <w:p w14:paraId="75C5D1DD" w14:textId="7C0FE4BB" w:rsidR="00EB5E59" w:rsidRDefault="00EB5E59" w:rsidP="00D90E94">
      <w:pPr>
        <w:autoSpaceDE w:val="0"/>
        <w:autoSpaceDN w:val="0"/>
        <w:adjustRightInd w:val="0"/>
        <w:jc w:val="both"/>
      </w:pPr>
      <w:r>
        <w:rPr>
          <w:rFonts w:ascii="ArialMT" w:hAnsi="ArialMT" w:cs="ArialMT"/>
          <w:szCs w:val="24"/>
          <w:lang w:eastAsia="en-GB"/>
        </w:rPr>
        <w:t>The sole objective of the proposal is to increase the deterrent effect of PCNs and</w:t>
      </w:r>
      <w:r w:rsidR="00D90E94">
        <w:rPr>
          <w:rFonts w:ascii="ArialMT" w:hAnsi="ArialMT" w:cs="ArialMT"/>
          <w:szCs w:val="24"/>
          <w:lang w:eastAsia="en-GB"/>
        </w:rPr>
        <w:t xml:space="preserve"> </w:t>
      </w:r>
      <w:r>
        <w:rPr>
          <w:rFonts w:ascii="ArialMT" w:hAnsi="ArialMT" w:cs="ArialMT"/>
          <w:szCs w:val="24"/>
          <w:lang w:eastAsia="en-GB"/>
        </w:rPr>
        <w:t>thereby reduce parking contraventions. It is expected that this proposal will be</w:t>
      </w:r>
      <w:r w:rsidR="00D90E94">
        <w:rPr>
          <w:rFonts w:ascii="ArialMT" w:hAnsi="ArialMT" w:cs="ArialMT"/>
          <w:szCs w:val="24"/>
          <w:lang w:eastAsia="en-GB"/>
        </w:rPr>
        <w:t xml:space="preserve"> </w:t>
      </w:r>
      <w:r>
        <w:rPr>
          <w:rFonts w:ascii="ArialMT" w:hAnsi="ArialMT" w:cs="ArialMT"/>
          <w:szCs w:val="24"/>
          <w:lang w:eastAsia="en-GB"/>
        </w:rPr>
        <w:t>finance neutral.</w:t>
      </w:r>
      <w:r w:rsidR="00D90E94">
        <w:rPr>
          <w:rFonts w:ascii="ArialMT" w:hAnsi="ArialMT" w:cs="ArialMT"/>
          <w:szCs w:val="24"/>
          <w:lang w:eastAsia="en-GB"/>
        </w:rPr>
        <w:t xml:space="preserve"> </w:t>
      </w:r>
      <w:r>
        <w:rPr>
          <w:rFonts w:ascii="ArialMT" w:hAnsi="ArialMT" w:cs="ArialMT"/>
          <w:szCs w:val="24"/>
          <w:lang w:eastAsia="en-GB"/>
        </w:rPr>
        <w:t>The additional income from higher Band PCNs would be balanced by a</w:t>
      </w:r>
      <w:r w:rsidR="00D90E94">
        <w:rPr>
          <w:rFonts w:ascii="ArialMT" w:hAnsi="ArialMT" w:cs="ArialMT"/>
          <w:szCs w:val="24"/>
          <w:lang w:eastAsia="en-GB"/>
        </w:rPr>
        <w:t xml:space="preserve"> </w:t>
      </w:r>
      <w:r>
        <w:rPr>
          <w:rFonts w:ascii="ArialMT" w:hAnsi="ArialMT" w:cs="ArialMT"/>
          <w:szCs w:val="24"/>
          <w:lang w:eastAsia="en-GB"/>
        </w:rPr>
        <w:t>corresponding reduction in the number of contraventions, due to the greater</w:t>
      </w:r>
      <w:r w:rsidR="00D90E94">
        <w:rPr>
          <w:rFonts w:ascii="ArialMT" w:hAnsi="ArialMT" w:cs="ArialMT"/>
          <w:szCs w:val="24"/>
          <w:lang w:eastAsia="en-GB"/>
        </w:rPr>
        <w:t xml:space="preserve"> </w:t>
      </w:r>
      <w:r>
        <w:rPr>
          <w:rFonts w:ascii="ArialMT" w:hAnsi="ArialMT" w:cs="ArialMT"/>
          <w:szCs w:val="24"/>
          <w:lang w:eastAsia="en-GB"/>
        </w:rPr>
        <w:t>deterrent effect.</w:t>
      </w:r>
    </w:p>
    <w:p w14:paraId="41D80CF8" w14:textId="519124AB" w:rsidR="00333FAA" w:rsidRDefault="00333FAA" w:rsidP="00EB5E59">
      <w:pPr>
        <w:pStyle w:val="Heading3"/>
        <w:spacing w:before="480" w:after="240"/>
        <w:ind w:left="0" w:firstLine="0"/>
      </w:pPr>
      <w:r w:rsidRPr="004A2543">
        <w:t>Equalities implications</w:t>
      </w:r>
      <w:r w:rsidR="001C7E35">
        <w:t xml:space="preserve"> </w:t>
      </w:r>
      <w:r w:rsidRPr="00333FAA">
        <w:t>/</w:t>
      </w:r>
      <w:r w:rsidR="001C7E35">
        <w:t xml:space="preserve"> </w:t>
      </w:r>
      <w:r w:rsidRPr="00333FAA">
        <w:t>Public Sector Equality Duty</w:t>
      </w:r>
    </w:p>
    <w:p w14:paraId="528698C3" w14:textId="77777777" w:rsidR="006E332A" w:rsidRDefault="006E332A" w:rsidP="006E332A">
      <w:pPr>
        <w:autoSpaceDE w:val="0"/>
        <w:autoSpaceDN w:val="0"/>
        <w:adjustRightInd w:val="0"/>
        <w:jc w:val="both"/>
        <w:rPr>
          <w:rFonts w:ascii="ArialMT" w:hAnsi="ArialMT" w:cs="ArialMT"/>
          <w:szCs w:val="24"/>
          <w:lang w:eastAsia="en-GB"/>
        </w:rPr>
      </w:pPr>
      <w:r>
        <w:rPr>
          <w:rFonts w:ascii="ArialMT" w:hAnsi="ArialMT" w:cs="ArialMT"/>
          <w:szCs w:val="24"/>
          <w:lang w:eastAsia="en-GB"/>
        </w:rPr>
        <w:t>Section 149 of the Equality Act 2010 provides that the Council must have due</w:t>
      </w:r>
    </w:p>
    <w:p w14:paraId="109F4896" w14:textId="77777777" w:rsidR="006E332A" w:rsidRDefault="006E332A" w:rsidP="006E332A">
      <w:pPr>
        <w:autoSpaceDE w:val="0"/>
        <w:autoSpaceDN w:val="0"/>
        <w:adjustRightInd w:val="0"/>
        <w:jc w:val="both"/>
        <w:rPr>
          <w:rFonts w:ascii="ArialMT" w:hAnsi="ArialMT" w:cs="ArialMT"/>
          <w:szCs w:val="24"/>
          <w:lang w:eastAsia="en-GB"/>
        </w:rPr>
      </w:pPr>
      <w:r>
        <w:rPr>
          <w:rFonts w:ascii="ArialMT" w:hAnsi="ArialMT" w:cs="ArialMT"/>
          <w:szCs w:val="24"/>
          <w:lang w:eastAsia="en-GB"/>
        </w:rPr>
        <w:lastRenderedPageBreak/>
        <w:t xml:space="preserve">Regard to the need to eliminate discrimination, advance equality of opportunity and foster good relations between those who share a protected characteristic, and those who do not. </w:t>
      </w:r>
    </w:p>
    <w:p w14:paraId="49B04A81" w14:textId="77777777" w:rsidR="006E332A" w:rsidRDefault="006E332A" w:rsidP="006E332A">
      <w:pPr>
        <w:autoSpaceDE w:val="0"/>
        <w:autoSpaceDN w:val="0"/>
        <w:adjustRightInd w:val="0"/>
        <w:jc w:val="both"/>
        <w:rPr>
          <w:rFonts w:ascii="ArialMT" w:hAnsi="ArialMT" w:cs="ArialMT"/>
          <w:szCs w:val="24"/>
          <w:lang w:eastAsia="en-GB"/>
        </w:rPr>
      </w:pPr>
    </w:p>
    <w:p w14:paraId="0B27108E" w14:textId="77777777" w:rsidR="006E332A" w:rsidRPr="00561B5C" w:rsidRDefault="006E332A" w:rsidP="006E332A">
      <w:pPr>
        <w:autoSpaceDE w:val="0"/>
        <w:autoSpaceDN w:val="0"/>
        <w:adjustRightInd w:val="0"/>
        <w:jc w:val="both"/>
        <w:rPr>
          <w:rFonts w:ascii="ArialMT" w:hAnsi="ArialMT" w:cs="ArialMT"/>
          <w:szCs w:val="24"/>
          <w:lang w:eastAsia="en-GB"/>
        </w:rPr>
      </w:pPr>
      <w:r>
        <w:rPr>
          <w:rFonts w:ascii="ArialMT" w:hAnsi="ArialMT" w:cs="ArialMT"/>
          <w:szCs w:val="24"/>
          <w:lang w:eastAsia="en-GB"/>
        </w:rPr>
        <w:t>No significant adverse implications have been identified in the proposal to move all PCNs to Band A. There is no evidence that motorists from any of the equalities groups with protected characteristics are more likely to incur PCNs than the general motoring population.</w:t>
      </w:r>
      <w:r>
        <w:t xml:space="preserve"> </w:t>
      </w:r>
    </w:p>
    <w:p w14:paraId="735D81F2" w14:textId="77777777" w:rsidR="00377569" w:rsidRPr="00AF31F7" w:rsidRDefault="00377569" w:rsidP="00AF31F7">
      <w:pPr>
        <w:pStyle w:val="Heading4"/>
        <w:spacing w:before="480"/>
        <w:rPr>
          <w:sz w:val="28"/>
          <w:szCs w:val="28"/>
        </w:rPr>
      </w:pPr>
      <w:r w:rsidRPr="00AF31F7">
        <w:rPr>
          <w:sz w:val="28"/>
          <w:szCs w:val="28"/>
        </w:rPr>
        <w:t>Council Priorities</w:t>
      </w:r>
    </w:p>
    <w:p w14:paraId="654F216A" w14:textId="77777777" w:rsidR="00377569" w:rsidRDefault="00377569" w:rsidP="00377569">
      <w:pPr>
        <w:rPr>
          <w:rFonts w:cs="Arial"/>
          <w:szCs w:val="24"/>
          <w:lang w:val="en-US"/>
        </w:rPr>
      </w:pPr>
    </w:p>
    <w:p w14:paraId="094F179A" w14:textId="7723A20E" w:rsidR="00377569" w:rsidRDefault="00377569" w:rsidP="00377569">
      <w:pPr>
        <w:pStyle w:val="StyleListParagraphBold"/>
        <w:numPr>
          <w:ilvl w:val="0"/>
          <w:numId w:val="47"/>
        </w:numPr>
      </w:pPr>
      <w:r w:rsidRPr="00752110">
        <w:t>A borough that is clean and safe</w:t>
      </w:r>
    </w:p>
    <w:p w14:paraId="2D0CEE58" w14:textId="4A473AF8" w:rsidR="005B215E" w:rsidRPr="001C0FEC" w:rsidRDefault="00057D80" w:rsidP="005B215E">
      <w:pPr>
        <w:pStyle w:val="StyleListParagraphBold"/>
        <w:ind w:left="0"/>
        <w:rPr>
          <w:b w:val="0"/>
          <w:bCs w:val="0"/>
        </w:rPr>
      </w:pPr>
      <w:r w:rsidRPr="001C0FEC">
        <w:rPr>
          <w:b w:val="0"/>
          <w:bCs w:val="0"/>
        </w:rPr>
        <w:t xml:space="preserve">To assist with </w:t>
      </w:r>
      <w:r w:rsidR="007164B8" w:rsidRPr="001C0FEC">
        <w:rPr>
          <w:b w:val="0"/>
          <w:bCs w:val="0"/>
        </w:rPr>
        <w:t xml:space="preserve">ensuring </w:t>
      </w:r>
      <w:r w:rsidR="00973D22" w:rsidRPr="001C0FEC">
        <w:rPr>
          <w:b w:val="0"/>
          <w:bCs w:val="0"/>
        </w:rPr>
        <w:t>motor vehicles only park in controlled areas</w:t>
      </w:r>
      <w:r w:rsidR="00CB41F0" w:rsidRPr="001C0FEC">
        <w:rPr>
          <w:b w:val="0"/>
          <w:bCs w:val="0"/>
        </w:rPr>
        <w:t xml:space="preserve"> that have been designated for parking</w:t>
      </w:r>
      <w:r w:rsidR="001C0FEC">
        <w:rPr>
          <w:b w:val="0"/>
          <w:bCs w:val="0"/>
        </w:rPr>
        <w:t>,</w:t>
      </w:r>
      <w:r w:rsidR="00CB41F0" w:rsidRPr="001C0FEC">
        <w:rPr>
          <w:b w:val="0"/>
          <w:bCs w:val="0"/>
        </w:rPr>
        <w:t xml:space="preserve"> </w:t>
      </w:r>
      <w:r w:rsidR="001C0FEC" w:rsidRPr="001C0FEC">
        <w:rPr>
          <w:b w:val="0"/>
          <w:bCs w:val="0"/>
        </w:rPr>
        <w:t>thus providing safety for pedestrians and other road users</w:t>
      </w:r>
    </w:p>
    <w:p w14:paraId="5514D939" w14:textId="77777777" w:rsidR="00333FAA" w:rsidRDefault="00333FAA" w:rsidP="000B7C66">
      <w:pPr>
        <w:pStyle w:val="Heading2"/>
        <w:spacing w:before="480" w:after="240"/>
      </w:pPr>
      <w:r>
        <w:t>Section 3 - Statutory Officer Clearance</w:t>
      </w:r>
    </w:p>
    <w:p w14:paraId="6A9EDF14" w14:textId="77777777" w:rsidR="00AF5224" w:rsidRDefault="00AF5224" w:rsidP="00AF5224">
      <w:pPr>
        <w:jc w:val="both"/>
        <w:rPr>
          <w:b/>
          <w:sz w:val="28"/>
        </w:rPr>
      </w:pPr>
      <w:r w:rsidRPr="00A66326">
        <w:rPr>
          <w:b/>
          <w:sz w:val="28"/>
        </w:rPr>
        <w:t xml:space="preserve">Statutory Officer:  </w:t>
      </w:r>
      <w:r>
        <w:rPr>
          <w:b/>
          <w:sz w:val="28"/>
        </w:rPr>
        <w:t xml:space="preserve">Dawn Calvert </w:t>
      </w:r>
    </w:p>
    <w:p w14:paraId="6BE0FFD8" w14:textId="77777777" w:rsidR="00AF5224" w:rsidRPr="00552F2D" w:rsidRDefault="00AF5224" w:rsidP="00AF5224">
      <w:pPr>
        <w:jc w:val="both"/>
      </w:pPr>
      <w:r w:rsidRPr="00552F2D">
        <w:t>Signed by the Chief Financial Officer</w:t>
      </w:r>
    </w:p>
    <w:p w14:paraId="31C3EBCB" w14:textId="77777777" w:rsidR="00AF5224" w:rsidRPr="00A66326" w:rsidRDefault="00AF5224" w:rsidP="00AF5224">
      <w:pPr>
        <w:spacing w:after="480"/>
        <w:jc w:val="both"/>
        <w:rPr>
          <w:sz w:val="28"/>
        </w:rPr>
      </w:pPr>
      <w:r w:rsidRPr="00552F2D">
        <w:rPr>
          <w:b/>
          <w:sz w:val="28"/>
        </w:rPr>
        <w:t xml:space="preserve">Date:  </w:t>
      </w:r>
      <w:r>
        <w:rPr>
          <w:b/>
          <w:sz w:val="28"/>
        </w:rPr>
        <w:t>27</w:t>
      </w:r>
      <w:r w:rsidRPr="00087515">
        <w:rPr>
          <w:b/>
          <w:sz w:val="28"/>
          <w:vertAlign w:val="superscript"/>
        </w:rPr>
        <w:t>th</w:t>
      </w:r>
      <w:r>
        <w:rPr>
          <w:b/>
          <w:sz w:val="28"/>
        </w:rPr>
        <w:t xml:space="preserve"> </w:t>
      </w:r>
      <w:r w:rsidRPr="00552F2D">
        <w:rPr>
          <w:b/>
          <w:sz w:val="28"/>
        </w:rPr>
        <w:t>January 2023</w:t>
      </w:r>
    </w:p>
    <w:p w14:paraId="44399AFF" w14:textId="77777777" w:rsidR="00AF5224" w:rsidRDefault="00AF5224" w:rsidP="00AF5224">
      <w:pPr>
        <w:jc w:val="both"/>
        <w:rPr>
          <w:b/>
          <w:sz w:val="28"/>
        </w:rPr>
      </w:pPr>
      <w:r w:rsidRPr="00A66326">
        <w:rPr>
          <w:b/>
          <w:sz w:val="28"/>
        </w:rPr>
        <w:t xml:space="preserve">Statutory Officer:  </w:t>
      </w:r>
      <w:r>
        <w:rPr>
          <w:b/>
          <w:sz w:val="28"/>
        </w:rPr>
        <w:t>Stephen Dorrian</w:t>
      </w:r>
    </w:p>
    <w:p w14:paraId="70FBF0B7" w14:textId="77777777" w:rsidR="00AF5224" w:rsidRPr="00552F2D" w:rsidRDefault="00AF5224" w:rsidP="00AF5224">
      <w:pPr>
        <w:jc w:val="both"/>
      </w:pPr>
      <w:r w:rsidRPr="00552F2D">
        <w:t>Signed on behalf of the Monitoring Officer</w:t>
      </w:r>
    </w:p>
    <w:p w14:paraId="0C4E92A5" w14:textId="77777777" w:rsidR="00AF5224" w:rsidRPr="00552F2D" w:rsidRDefault="00AF5224" w:rsidP="00AF5224">
      <w:pPr>
        <w:jc w:val="both"/>
        <w:rPr>
          <w:sz w:val="28"/>
        </w:rPr>
      </w:pPr>
      <w:r w:rsidRPr="00552F2D">
        <w:rPr>
          <w:b/>
          <w:sz w:val="28"/>
        </w:rPr>
        <w:t xml:space="preserve">Date:  </w:t>
      </w:r>
      <w:r>
        <w:rPr>
          <w:b/>
          <w:sz w:val="28"/>
        </w:rPr>
        <w:t>30</w:t>
      </w:r>
      <w:r w:rsidRPr="00785F4D">
        <w:rPr>
          <w:b/>
          <w:sz w:val="28"/>
          <w:vertAlign w:val="superscript"/>
        </w:rPr>
        <w:t>th</w:t>
      </w:r>
      <w:r>
        <w:rPr>
          <w:b/>
          <w:sz w:val="28"/>
        </w:rPr>
        <w:t xml:space="preserve"> </w:t>
      </w:r>
      <w:r w:rsidRPr="00552F2D">
        <w:rPr>
          <w:b/>
          <w:sz w:val="28"/>
        </w:rPr>
        <w:t>January 2023</w:t>
      </w:r>
    </w:p>
    <w:p w14:paraId="3D5C88A7" w14:textId="77777777" w:rsidR="00AF5224" w:rsidRPr="00552F2D" w:rsidRDefault="00AF5224" w:rsidP="00AF5224">
      <w:pPr>
        <w:jc w:val="both"/>
        <w:rPr>
          <w:b/>
          <w:sz w:val="28"/>
        </w:rPr>
      </w:pPr>
    </w:p>
    <w:p w14:paraId="21F337CD" w14:textId="77777777" w:rsidR="00AF5224" w:rsidRPr="00552F2D" w:rsidRDefault="00AF5224" w:rsidP="00AF5224">
      <w:pPr>
        <w:jc w:val="both"/>
        <w:rPr>
          <w:b/>
          <w:sz w:val="28"/>
        </w:rPr>
      </w:pPr>
      <w:r w:rsidRPr="00552F2D">
        <w:rPr>
          <w:b/>
          <w:sz w:val="28"/>
        </w:rPr>
        <w:t xml:space="preserve">Chief Officer:  Dipti Patel </w:t>
      </w:r>
    </w:p>
    <w:p w14:paraId="0AB071BE" w14:textId="77777777" w:rsidR="00AF5224" w:rsidRPr="00552F2D" w:rsidRDefault="00AF5224" w:rsidP="00AF5224">
      <w:pPr>
        <w:jc w:val="both"/>
      </w:pPr>
      <w:r w:rsidRPr="00552F2D">
        <w:t>Signed off by the Corporate Director</w:t>
      </w:r>
    </w:p>
    <w:p w14:paraId="2E083754" w14:textId="77777777" w:rsidR="00AF5224" w:rsidRPr="00552F2D" w:rsidRDefault="00AF5224" w:rsidP="00AF5224">
      <w:pPr>
        <w:spacing w:after="480"/>
        <w:jc w:val="both"/>
        <w:rPr>
          <w:sz w:val="28"/>
        </w:rPr>
      </w:pPr>
      <w:r w:rsidRPr="00552F2D">
        <w:rPr>
          <w:b/>
          <w:sz w:val="28"/>
        </w:rPr>
        <w:t xml:space="preserve">Date:  </w:t>
      </w:r>
      <w:r>
        <w:rPr>
          <w:b/>
          <w:sz w:val="28"/>
        </w:rPr>
        <w:t>27</w:t>
      </w:r>
      <w:r w:rsidRPr="007E6852">
        <w:rPr>
          <w:b/>
          <w:sz w:val="28"/>
          <w:vertAlign w:val="superscript"/>
        </w:rPr>
        <w:t>th</w:t>
      </w:r>
      <w:r>
        <w:rPr>
          <w:b/>
          <w:sz w:val="28"/>
        </w:rPr>
        <w:t xml:space="preserve"> </w:t>
      </w:r>
      <w:r w:rsidRPr="00552F2D">
        <w:rPr>
          <w:b/>
          <w:sz w:val="28"/>
        </w:rPr>
        <w:t>January 2023</w:t>
      </w:r>
    </w:p>
    <w:p w14:paraId="0C3F58ED" w14:textId="77777777" w:rsidR="00AF5224" w:rsidRPr="00552F2D" w:rsidRDefault="00AF5224" w:rsidP="00AF5224">
      <w:pPr>
        <w:jc w:val="both"/>
        <w:rPr>
          <w:b/>
          <w:sz w:val="28"/>
        </w:rPr>
      </w:pPr>
      <w:r w:rsidRPr="00552F2D">
        <w:rPr>
          <w:b/>
          <w:sz w:val="28"/>
        </w:rPr>
        <w:t>Head of Procurement:  Nimesh Mehta</w:t>
      </w:r>
    </w:p>
    <w:p w14:paraId="7543338B" w14:textId="77777777" w:rsidR="00AF5224" w:rsidRPr="00552F2D" w:rsidRDefault="00AF5224" w:rsidP="00AF5224">
      <w:pPr>
        <w:jc w:val="both"/>
      </w:pPr>
      <w:r w:rsidRPr="00552F2D">
        <w:t>Signed by the Head of Procurement</w:t>
      </w:r>
    </w:p>
    <w:p w14:paraId="2E1D4539" w14:textId="77777777" w:rsidR="00AF5224" w:rsidRPr="00552F2D" w:rsidRDefault="00AF5224" w:rsidP="00AF5224">
      <w:pPr>
        <w:spacing w:after="480"/>
        <w:jc w:val="both"/>
        <w:rPr>
          <w:sz w:val="28"/>
        </w:rPr>
      </w:pPr>
      <w:r w:rsidRPr="00552F2D">
        <w:rPr>
          <w:b/>
          <w:sz w:val="28"/>
        </w:rPr>
        <w:t xml:space="preserve">Date:  </w:t>
      </w:r>
      <w:r>
        <w:rPr>
          <w:b/>
          <w:sz w:val="28"/>
        </w:rPr>
        <w:t>21</w:t>
      </w:r>
      <w:r w:rsidRPr="00F4013D">
        <w:rPr>
          <w:b/>
          <w:sz w:val="28"/>
          <w:vertAlign w:val="superscript"/>
        </w:rPr>
        <w:t>st</w:t>
      </w:r>
      <w:r>
        <w:rPr>
          <w:b/>
          <w:sz w:val="28"/>
        </w:rPr>
        <w:t xml:space="preserve"> </w:t>
      </w:r>
      <w:r w:rsidRPr="00552F2D">
        <w:rPr>
          <w:b/>
          <w:sz w:val="28"/>
        </w:rPr>
        <w:t>January 2023</w:t>
      </w:r>
    </w:p>
    <w:p w14:paraId="33F55A93" w14:textId="77777777" w:rsidR="00AF5224" w:rsidRPr="00552F2D" w:rsidRDefault="00AF5224" w:rsidP="00AF5224">
      <w:pPr>
        <w:jc w:val="both"/>
        <w:rPr>
          <w:b/>
          <w:sz w:val="28"/>
        </w:rPr>
      </w:pPr>
      <w:r w:rsidRPr="00552F2D">
        <w:rPr>
          <w:b/>
          <w:sz w:val="28"/>
        </w:rPr>
        <w:t>Head of Internal Audit:  Susan Dixson</w:t>
      </w:r>
    </w:p>
    <w:p w14:paraId="66A07C16" w14:textId="77777777" w:rsidR="00AF5224" w:rsidRPr="00552F2D" w:rsidRDefault="00AF5224" w:rsidP="00AF5224">
      <w:pPr>
        <w:jc w:val="both"/>
        <w:rPr>
          <w:sz w:val="28"/>
        </w:rPr>
      </w:pPr>
      <w:r w:rsidRPr="00552F2D">
        <w:t>Signed by the Head of Internal Audit</w:t>
      </w:r>
    </w:p>
    <w:p w14:paraId="0D46047A" w14:textId="5FD4CCE6" w:rsidR="002D1462" w:rsidRDefault="00AF5224" w:rsidP="00D90E94">
      <w:pPr>
        <w:spacing w:after="480"/>
        <w:jc w:val="both"/>
      </w:pPr>
      <w:r w:rsidRPr="00552F2D">
        <w:rPr>
          <w:b/>
          <w:sz w:val="28"/>
        </w:rPr>
        <w:t xml:space="preserve">Date: </w:t>
      </w:r>
      <w:r>
        <w:rPr>
          <w:b/>
          <w:sz w:val="28"/>
        </w:rPr>
        <w:t>31</w:t>
      </w:r>
      <w:r w:rsidRPr="00F4013D">
        <w:rPr>
          <w:b/>
          <w:sz w:val="28"/>
          <w:vertAlign w:val="superscript"/>
        </w:rPr>
        <w:t>st</w:t>
      </w:r>
      <w:r>
        <w:rPr>
          <w:b/>
          <w:sz w:val="28"/>
        </w:rPr>
        <w:t xml:space="preserve"> </w:t>
      </w:r>
      <w:r w:rsidRPr="00552F2D">
        <w:rPr>
          <w:b/>
          <w:sz w:val="28"/>
        </w:rPr>
        <w:t>January 2023</w:t>
      </w:r>
    </w:p>
    <w:p w14:paraId="236185B6" w14:textId="3CF66984" w:rsidR="00F42E1E" w:rsidRPr="00F42E1E" w:rsidRDefault="00F42E1E" w:rsidP="00F42E1E">
      <w:r w:rsidRPr="005A6BCB">
        <w:rPr>
          <w:b/>
          <w:bCs/>
          <w:sz w:val="28"/>
        </w:rPr>
        <w:t xml:space="preserve">Has the Portfolio Holder(s) been consulted?  Yes </w:t>
      </w:r>
      <w:sdt>
        <w:sdtPr>
          <w:rPr>
            <w:b/>
            <w:bCs/>
            <w:sz w:val="28"/>
          </w:rPr>
          <w:id w:val="-506674679"/>
          <w14:checkbox>
            <w14:checked w14:val="1"/>
            <w14:checkedState w14:val="2612" w14:font="MS Gothic"/>
            <w14:uncheckedState w14:val="2610" w14:font="MS Gothic"/>
          </w14:checkbox>
        </w:sdtPr>
        <w:sdtEndPr/>
        <w:sdtContent>
          <w:r w:rsidR="00AF5224">
            <w:rPr>
              <w:rFonts w:ascii="MS Gothic" w:eastAsia="MS Gothic" w:hAnsi="MS Gothic" w:hint="eastAsia"/>
              <w:b/>
              <w:bCs/>
              <w:sz w:val="28"/>
            </w:rPr>
            <w:t>☒</w:t>
          </w:r>
        </w:sdtContent>
      </w:sdt>
      <w:r w:rsidRPr="005A6BCB">
        <w:rPr>
          <w:b/>
          <w:bCs/>
          <w:sz w:val="28"/>
        </w:rPr>
        <w:t xml:space="preserve">     </w:t>
      </w:r>
    </w:p>
    <w:p w14:paraId="45A19EC7" w14:textId="59434FDF" w:rsidR="003313EA" w:rsidRPr="00435B5D" w:rsidRDefault="003313EA" w:rsidP="00BF5AFA">
      <w:pPr>
        <w:pStyle w:val="Heading2"/>
        <w:spacing w:before="480" w:after="240"/>
      </w:pPr>
      <w:r>
        <w:t>Mandatory Checks</w:t>
      </w:r>
    </w:p>
    <w:p w14:paraId="64551188" w14:textId="01C5891F" w:rsidR="003313EA" w:rsidRPr="00A406F3" w:rsidRDefault="003313EA" w:rsidP="003313EA">
      <w:pPr>
        <w:pStyle w:val="Heading3"/>
        <w:ind w:left="0" w:firstLine="0"/>
        <w:jc w:val="left"/>
      </w:pPr>
      <w:r w:rsidRPr="003313EA">
        <w:t xml:space="preserve">Ward Councillors </w:t>
      </w:r>
      <w:r>
        <w:t xml:space="preserve">notified:  </w:t>
      </w:r>
      <w:r w:rsidRPr="00A406F3">
        <w:t>NO</w:t>
      </w:r>
      <w:r w:rsidRPr="00333FAA">
        <w:t>, as it impacts on all Wards</w:t>
      </w:r>
      <w:r w:rsidRPr="00A406F3">
        <w:t xml:space="preserve"> </w:t>
      </w:r>
    </w:p>
    <w:p w14:paraId="2E8E750F" w14:textId="13F5919C" w:rsidR="003313EA" w:rsidRPr="003313EA" w:rsidRDefault="003313EA" w:rsidP="00A53B04">
      <w:pPr>
        <w:pStyle w:val="Infotext"/>
        <w:rPr>
          <w:i/>
          <w:color w:val="FF0000"/>
          <w:sz w:val="24"/>
          <w:szCs w:val="24"/>
        </w:rPr>
      </w:pPr>
      <w:r w:rsidRPr="003313EA">
        <w:rPr>
          <w:i/>
          <w:color w:val="FF0000"/>
          <w:sz w:val="24"/>
          <w:szCs w:val="24"/>
        </w:rPr>
        <w:lastRenderedPageBreak/>
        <w:t xml:space="preserve"> </w:t>
      </w:r>
    </w:p>
    <w:p w14:paraId="076B2154" w14:textId="692C11B0" w:rsidR="00405A33" w:rsidRPr="00ED3CAD" w:rsidRDefault="003313EA" w:rsidP="00D90E94">
      <w:pPr>
        <w:pStyle w:val="Heading3"/>
        <w:spacing w:before="240"/>
        <w:rPr>
          <w:b w:val="0"/>
        </w:rPr>
      </w:pPr>
      <w:proofErr w:type="spellStart"/>
      <w:r w:rsidRPr="00202D79">
        <w:t>EqIA</w:t>
      </w:r>
      <w:proofErr w:type="spellEnd"/>
      <w:r w:rsidRPr="00202D79">
        <w:t xml:space="preserve"> carried out:</w:t>
      </w:r>
      <w:r>
        <w:t xml:space="preserve">  </w:t>
      </w:r>
      <w:r w:rsidR="00D90E94">
        <w:t>N/A</w:t>
      </w:r>
    </w:p>
    <w:p w14:paraId="41E16C55" w14:textId="77777777" w:rsidR="00333FAA" w:rsidRDefault="00333FAA" w:rsidP="00842757">
      <w:pPr>
        <w:pStyle w:val="Heading2"/>
        <w:spacing w:before="480" w:after="240"/>
      </w:pPr>
      <w:r>
        <w:t xml:space="preserve">Section </w:t>
      </w:r>
      <w:r w:rsidR="00A20113">
        <w:t>4</w:t>
      </w:r>
      <w:r>
        <w:t xml:space="preserve"> - Contact Details and Background Papers</w:t>
      </w:r>
    </w:p>
    <w:p w14:paraId="0005C0E4" w14:textId="5D2BF997" w:rsidR="00333FAA" w:rsidRPr="005808FB" w:rsidRDefault="00333FAA" w:rsidP="00CC18AC">
      <w:pPr>
        <w:pStyle w:val="Infotext"/>
        <w:spacing w:after="240"/>
        <w:rPr>
          <w:color w:val="FF0000"/>
        </w:rPr>
      </w:pPr>
      <w:r w:rsidRPr="004E47FC">
        <w:rPr>
          <w:b/>
        </w:rPr>
        <w:t xml:space="preserve">Contact:  </w:t>
      </w:r>
      <w:r w:rsidR="00C35E0E" w:rsidRPr="003C2950">
        <w:rPr>
          <w:bCs/>
        </w:rPr>
        <w:t>Jon Shaw</w:t>
      </w:r>
      <w:r w:rsidR="003C2950" w:rsidRPr="003C2950">
        <w:rPr>
          <w:bCs/>
        </w:rPr>
        <w:t>, Project Manager</w:t>
      </w:r>
      <w:r w:rsidR="003C2950">
        <w:rPr>
          <w:bCs/>
        </w:rPr>
        <w:t xml:space="preserve"> </w:t>
      </w:r>
      <w:hyperlink r:id="rId13" w:history="1">
        <w:r w:rsidR="003C2950" w:rsidRPr="005D4C0D">
          <w:rPr>
            <w:rStyle w:val="Hyperlink"/>
            <w:bCs/>
          </w:rPr>
          <w:t>jon.shaw@harrow.gov.uk</w:t>
        </w:r>
      </w:hyperlink>
      <w:r w:rsidR="003C2950">
        <w:rPr>
          <w:bCs/>
        </w:rPr>
        <w:t xml:space="preserve"> </w:t>
      </w:r>
    </w:p>
    <w:p w14:paraId="5643A7F9" w14:textId="48F6BA34" w:rsidR="005718B5" w:rsidRPr="00842757" w:rsidRDefault="00333FAA" w:rsidP="00B97D2A">
      <w:pPr>
        <w:pStyle w:val="Infotext"/>
        <w:spacing w:after="240"/>
        <w:rPr>
          <w:rFonts w:ascii="Calibri" w:hAnsi="Calibri"/>
          <w:szCs w:val="24"/>
          <w:lang w:eastAsia="en-GB"/>
        </w:rPr>
      </w:pPr>
      <w:r w:rsidRPr="004E47FC">
        <w:rPr>
          <w:b/>
        </w:rPr>
        <w:t xml:space="preserve">Background Papers: </w:t>
      </w:r>
      <w:r w:rsidR="005808FB">
        <w:rPr>
          <w:b/>
        </w:rPr>
        <w:t xml:space="preserve"> </w:t>
      </w:r>
      <w:r w:rsidR="00B97D2A" w:rsidRPr="00B97D2A">
        <w:t>None</w:t>
      </w:r>
    </w:p>
    <w:p w14:paraId="7C8FEB52" w14:textId="42DBD43C" w:rsidR="00842757" w:rsidRPr="007C0DC3" w:rsidRDefault="00842757" w:rsidP="00842757">
      <w:pPr>
        <w:pStyle w:val="Infotext"/>
        <w:spacing w:before="480"/>
        <w:rPr>
          <w:rFonts w:ascii="Arial Black" w:hAnsi="Arial Black"/>
        </w:rPr>
      </w:pPr>
      <w:r>
        <w:rPr>
          <w:rFonts w:ascii="Arial Black" w:hAnsi="Arial Black"/>
        </w:rPr>
        <w:t>Call-in w</w:t>
      </w:r>
      <w:r w:rsidRPr="007C0DC3">
        <w:rPr>
          <w:rFonts w:ascii="Arial Black" w:hAnsi="Arial Black"/>
        </w:rPr>
        <w:t>aived by the Chair of Overview and Scrutiny Committee</w:t>
      </w:r>
      <w:r w:rsidR="00D90E94">
        <w:rPr>
          <w:rFonts w:ascii="Arial Black" w:hAnsi="Arial Black"/>
        </w:rPr>
        <w:t xml:space="preserve"> - NO</w:t>
      </w:r>
    </w:p>
    <w:p w14:paraId="3CCA5C3B" w14:textId="70E35AD6" w:rsidR="000D4E36" w:rsidRPr="00ED6776" w:rsidRDefault="000D4E36" w:rsidP="00ED6776">
      <w:pPr>
        <w:pStyle w:val="Infotext"/>
        <w:tabs>
          <w:tab w:val="left" w:pos="3768"/>
          <w:tab w:val="left" w:pos="4315"/>
        </w:tabs>
        <w:rPr>
          <w:rFonts w:cs="Arial"/>
          <w:i/>
          <w:sz w:val="24"/>
          <w:szCs w:val="24"/>
          <w:lang w:eastAsia="en-GB"/>
        </w:rPr>
      </w:pPr>
    </w:p>
    <w:sectPr w:rsidR="000D4E36" w:rsidRPr="00ED6776" w:rsidSect="001614E0">
      <w:headerReference w:type="default" r:id="rId14"/>
      <w:headerReference w:type="first" r:id="rId15"/>
      <w:footerReference w:type="first" r:id="rId16"/>
      <w:pgSz w:w="11909" w:h="16834" w:code="9"/>
      <w:pgMar w:top="720" w:right="1800" w:bottom="1440" w:left="180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E6CF9D" w14:textId="77777777" w:rsidR="00D50C4A" w:rsidRDefault="00D50C4A">
      <w:r>
        <w:separator/>
      </w:r>
    </w:p>
  </w:endnote>
  <w:endnote w:type="continuationSeparator" w:id="0">
    <w:p w14:paraId="7558879A" w14:textId="77777777" w:rsidR="00D50C4A" w:rsidRDefault="00D50C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swiss"/>
    <w:notTrueType/>
    <w:pitch w:val="default"/>
    <w:sig w:usb0="00000003" w:usb1="00000000" w:usb2="00000000" w:usb3="00000000" w:csb0="00000001" w:csb1="00000000"/>
  </w:font>
  <w:font w:name="Arial-ItalicMT">
    <w:altName w:val="Arial"/>
    <w:charset w:val="00"/>
    <w:family w:val="swiss"/>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A2D47" w14:textId="77777777" w:rsidR="00952CEF" w:rsidRPr="004F56C5" w:rsidRDefault="00952CEF" w:rsidP="004F56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7E50D4" w14:textId="77777777" w:rsidR="00D50C4A" w:rsidRDefault="00D50C4A">
      <w:r>
        <w:separator/>
      </w:r>
    </w:p>
  </w:footnote>
  <w:footnote w:type="continuationSeparator" w:id="0">
    <w:p w14:paraId="2DBE4B27" w14:textId="77777777" w:rsidR="00D50C4A" w:rsidRDefault="00D50C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AC79B" w14:textId="77777777" w:rsidR="00952CEF" w:rsidRDefault="00952C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49454" w14:textId="77777777" w:rsidR="00952CEF" w:rsidRDefault="00952C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51DDF"/>
    <w:multiLevelType w:val="hybridMultilevel"/>
    <w:tmpl w:val="60AC2D2E"/>
    <w:lvl w:ilvl="0" w:tplc="F8187620">
      <w:start w:val="1"/>
      <w:numFmt w:val="bullet"/>
      <w:lvlText w:val=""/>
      <w:lvlJc w:val="left"/>
      <w:pPr>
        <w:tabs>
          <w:tab w:val="num" w:pos="720"/>
        </w:tabs>
        <w:ind w:left="720" w:hanging="72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2AB165F"/>
    <w:multiLevelType w:val="hybridMultilevel"/>
    <w:tmpl w:val="DB40A302"/>
    <w:lvl w:ilvl="0" w:tplc="04090001">
      <w:start w:val="1"/>
      <w:numFmt w:val="bullet"/>
      <w:lvlText w:val=""/>
      <w:lvlJc w:val="left"/>
      <w:pPr>
        <w:tabs>
          <w:tab w:val="num" w:pos="720"/>
        </w:tabs>
        <w:ind w:left="720" w:hanging="360"/>
      </w:pPr>
      <w:rPr>
        <w:rFonts w:ascii="Symbol" w:hAnsi="Symbol" w:hint="default"/>
      </w:rPr>
    </w:lvl>
    <w:lvl w:ilvl="1" w:tplc="CCA20D82">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401D17"/>
    <w:multiLevelType w:val="hybridMultilevel"/>
    <w:tmpl w:val="3E746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A01BFE"/>
    <w:multiLevelType w:val="hybridMultilevel"/>
    <w:tmpl w:val="43A8E00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256357"/>
    <w:multiLevelType w:val="multilevel"/>
    <w:tmpl w:val="884418E6"/>
    <w:lvl w:ilvl="0">
      <w:start w:val="1"/>
      <w:numFmt w:val="bullet"/>
      <w:lvlText w:val="-"/>
      <w:lvlJc w:val="left"/>
      <w:pPr>
        <w:tabs>
          <w:tab w:val="num" w:pos="1080"/>
        </w:tabs>
        <w:ind w:left="1080" w:hanging="360"/>
      </w:pPr>
      <w:rPr>
        <w:rFonts w:ascii="Arial" w:hAnsi="Arial" w:hint="default"/>
        <w:sz w:val="20"/>
      </w:rPr>
    </w:lvl>
    <w:lvl w:ilvl="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5" w15:restartNumberingAfterBreak="0">
    <w:nsid w:val="12E45D48"/>
    <w:multiLevelType w:val="hybridMultilevel"/>
    <w:tmpl w:val="B2CA8E74"/>
    <w:lvl w:ilvl="0" w:tplc="365A6E94">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AF3B1D"/>
    <w:multiLevelType w:val="multilevel"/>
    <w:tmpl w:val="FAFC50C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16CD7165"/>
    <w:multiLevelType w:val="hybridMultilevel"/>
    <w:tmpl w:val="B37E7CEA"/>
    <w:lvl w:ilvl="0" w:tplc="29203C72">
      <w:start w:val="1"/>
      <w:numFmt w:val="lowerLetter"/>
      <w:lvlText w:val="%1."/>
      <w:lvlJc w:val="left"/>
      <w:pPr>
        <w:tabs>
          <w:tab w:val="num" w:pos="720"/>
        </w:tabs>
        <w:ind w:left="720" w:hanging="720"/>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6CE0B17"/>
    <w:multiLevelType w:val="hybridMultilevel"/>
    <w:tmpl w:val="9A0C48C8"/>
    <w:lvl w:ilvl="0" w:tplc="2514E298">
      <w:start w:val="1"/>
      <w:numFmt w:val="bullet"/>
      <w:lvlText w:val=""/>
      <w:lvlJc w:val="left"/>
      <w:pPr>
        <w:ind w:left="72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7363EA"/>
    <w:multiLevelType w:val="multilevel"/>
    <w:tmpl w:val="F47A8876"/>
    <w:lvl w:ilvl="0">
      <w:start w:val="1"/>
      <w:numFmt w:val="lowerLetter"/>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E683402"/>
    <w:multiLevelType w:val="hybridMultilevel"/>
    <w:tmpl w:val="D6AAC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174F0C"/>
    <w:multiLevelType w:val="hybridMultilevel"/>
    <w:tmpl w:val="9260F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D25749"/>
    <w:multiLevelType w:val="hybridMultilevel"/>
    <w:tmpl w:val="CB4CB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BD22AF"/>
    <w:multiLevelType w:val="hybridMultilevel"/>
    <w:tmpl w:val="BD389F1C"/>
    <w:lvl w:ilvl="0" w:tplc="1DAEDB42">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90142D9"/>
    <w:multiLevelType w:val="hybridMultilevel"/>
    <w:tmpl w:val="9FBA1538"/>
    <w:lvl w:ilvl="0" w:tplc="A240E190">
      <w:start w:val="1"/>
      <w:numFmt w:val="bullet"/>
      <w:lvlText w:val=""/>
      <w:lvlJc w:val="left"/>
      <w:pPr>
        <w:tabs>
          <w:tab w:val="num" w:pos="-31680"/>
        </w:tabs>
        <w:ind w:left="720" w:hanging="72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99B5A02"/>
    <w:multiLevelType w:val="hybridMultilevel"/>
    <w:tmpl w:val="8B52685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B591E4C"/>
    <w:multiLevelType w:val="hybridMultilevel"/>
    <w:tmpl w:val="15D00DEC"/>
    <w:lvl w:ilvl="0" w:tplc="3EEA1D32">
      <w:numFmt w:val="bullet"/>
      <w:lvlText w:val=""/>
      <w:lvlJc w:val="left"/>
      <w:pPr>
        <w:tabs>
          <w:tab w:val="num" w:pos="-31680"/>
        </w:tabs>
        <w:ind w:left="720" w:hanging="72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DA95E8D"/>
    <w:multiLevelType w:val="hybridMultilevel"/>
    <w:tmpl w:val="29282C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15666A0"/>
    <w:multiLevelType w:val="hybridMultilevel"/>
    <w:tmpl w:val="B0F2CDCC"/>
    <w:lvl w:ilvl="0" w:tplc="04090001">
      <w:start w:val="1"/>
      <w:numFmt w:val="bullet"/>
      <w:lvlText w:val=""/>
      <w:lvlJc w:val="left"/>
      <w:pPr>
        <w:tabs>
          <w:tab w:val="num" w:pos="720"/>
        </w:tabs>
        <w:ind w:left="720" w:hanging="360"/>
      </w:pPr>
      <w:rPr>
        <w:rFonts w:ascii="Symbol" w:hAnsi="Symbol" w:hint="default"/>
      </w:rPr>
    </w:lvl>
    <w:lvl w:ilvl="1" w:tplc="04322C90">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2855901"/>
    <w:multiLevelType w:val="hybridMultilevel"/>
    <w:tmpl w:val="A9EAEC16"/>
    <w:lvl w:ilvl="0" w:tplc="A2449B4C">
      <w:start w:val="1"/>
      <w:numFmt w:val="decimal"/>
      <w:lvlText w:val="%1."/>
      <w:lvlJc w:val="left"/>
      <w:pPr>
        <w:tabs>
          <w:tab w:val="num" w:pos="-3168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36848A1"/>
    <w:multiLevelType w:val="hybridMultilevel"/>
    <w:tmpl w:val="2B780FBC"/>
    <w:lvl w:ilvl="0" w:tplc="70607A78">
      <w:start w:val="1"/>
      <w:numFmt w:val="bullet"/>
      <w:lvlText w:val=""/>
      <w:lvlJc w:val="left"/>
      <w:pPr>
        <w:tabs>
          <w:tab w:val="num" w:pos="720"/>
        </w:tabs>
        <w:ind w:left="720" w:hanging="72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CCC2CAF"/>
    <w:multiLevelType w:val="multilevel"/>
    <w:tmpl w:val="F4DEA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E7436A3"/>
    <w:multiLevelType w:val="hybridMultilevel"/>
    <w:tmpl w:val="9612C4A0"/>
    <w:lvl w:ilvl="0" w:tplc="61BA837E">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ED0745B"/>
    <w:multiLevelType w:val="hybridMultilevel"/>
    <w:tmpl w:val="551442B2"/>
    <w:lvl w:ilvl="0" w:tplc="08090001">
      <w:start w:val="1"/>
      <w:numFmt w:val="bullet"/>
      <w:lvlText w:val=""/>
      <w:lvlJc w:val="left"/>
      <w:pPr>
        <w:ind w:left="780" w:hanging="360"/>
      </w:pPr>
      <w:rPr>
        <w:rFonts w:ascii="Symbol" w:hAnsi="Symbol" w:hint="default"/>
        <w:color w:val="auto"/>
      </w:r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24" w15:restartNumberingAfterBreak="0">
    <w:nsid w:val="4086076C"/>
    <w:multiLevelType w:val="hybridMultilevel"/>
    <w:tmpl w:val="CD724460"/>
    <w:lvl w:ilvl="0" w:tplc="04090001">
      <w:start w:val="1"/>
      <w:numFmt w:val="bullet"/>
      <w:lvlText w:val=""/>
      <w:lvlJc w:val="left"/>
      <w:pPr>
        <w:tabs>
          <w:tab w:val="num" w:pos="720"/>
        </w:tabs>
        <w:ind w:left="720" w:hanging="360"/>
      </w:pPr>
      <w:rPr>
        <w:rFonts w:ascii="Symbol" w:hAnsi="Symbol" w:hint="default"/>
      </w:rPr>
    </w:lvl>
    <w:lvl w:ilvl="1" w:tplc="09123418">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09D1589"/>
    <w:multiLevelType w:val="hybridMultilevel"/>
    <w:tmpl w:val="D688C8DE"/>
    <w:lvl w:ilvl="0" w:tplc="04090001">
      <w:start w:val="1"/>
      <w:numFmt w:val="bullet"/>
      <w:lvlText w:val=""/>
      <w:lvlJc w:val="left"/>
      <w:pPr>
        <w:tabs>
          <w:tab w:val="num" w:pos="720"/>
        </w:tabs>
        <w:ind w:left="720" w:hanging="360"/>
      </w:pPr>
      <w:rPr>
        <w:rFonts w:ascii="Symbol" w:hAnsi="Symbol" w:hint="default"/>
      </w:rPr>
    </w:lvl>
    <w:lvl w:ilvl="1" w:tplc="5C9A0866">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1A75CD0"/>
    <w:multiLevelType w:val="hybridMultilevel"/>
    <w:tmpl w:val="BAC4A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1FF2385"/>
    <w:multiLevelType w:val="multilevel"/>
    <w:tmpl w:val="D724F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32C2930"/>
    <w:multiLevelType w:val="hybridMultilevel"/>
    <w:tmpl w:val="771E408C"/>
    <w:lvl w:ilvl="0" w:tplc="3E98B9DA">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445109BF"/>
    <w:multiLevelType w:val="multilevel"/>
    <w:tmpl w:val="08CE2DA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0" w15:restartNumberingAfterBreak="0">
    <w:nsid w:val="45C2642A"/>
    <w:multiLevelType w:val="hybridMultilevel"/>
    <w:tmpl w:val="0CEE805C"/>
    <w:lvl w:ilvl="0" w:tplc="B1FA54C8">
      <w:start w:val="1"/>
      <w:numFmt w:val="lowerLetter"/>
      <w:lvlText w:val="%1."/>
      <w:lvlJc w:val="left"/>
      <w:pPr>
        <w:tabs>
          <w:tab w:val="num" w:pos="1095"/>
        </w:tabs>
        <w:ind w:left="1095" w:hanging="735"/>
      </w:pPr>
      <w:rPr>
        <w:rFonts w:ascii="Arial" w:hAnsi="Arial" w:cs="Arial" w:hint="default"/>
        <w:i/>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45FD5009"/>
    <w:multiLevelType w:val="hybridMultilevel"/>
    <w:tmpl w:val="4AE472E2"/>
    <w:lvl w:ilvl="0" w:tplc="53AA2584">
      <w:start w:val="1"/>
      <w:numFmt w:val="bullet"/>
      <w:lvlText w:val=""/>
      <w:lvlJc w:val="left"/>
      <w:pPr>
        <w:tabs>
          <w:tab w:val="num" w:pos="360"/>
        </w:tabs>
        <w:ind w:left="360" w:hanging="360"/>
      </w:pPr>
      <w:rPr>
        <w:rFonts w:ascii="Wingdings" w:hAnsi="Wingdings" w:hint="default"/>
        <w:color w:val="3E007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03D7533"/>
    <w:multiLevelType w:val="hybridMultilevel"/>
    <w:tmpl w:val="903496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132222C"/>
    <w:multiLevelType w:val="hybridMultilevel"/>
    <w:tmpl w:val="3E6C2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2EC6D2E"/>
    <w:multiLevelType w:val="hybridMultilevel"/>
    <w:tmpl w:val="B5AC3D28"/>
    <w:lvl w:ilvl="0" w:tplc="FB745912">
      <w:start w:val="1"/>
      <w:numFmt w:val="bullet"/>
      <w:lvlText w:val=""/>
      <w:lvlJc w:val="left"/>
      <w:pPr>
        <w:tabs>
          <w:tab w:val="num" w:pos="-31680"/>
        </w:tabs>
        <w:ind w:left="720" w:hanging="72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553170DE"/>
    <w:multiLevelType w:val="hybridMultilevel"/>
    <w:tmpl w:val="A800A568"/>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8922C1B"/>
    <w:multiLevelType w:val="hybridMultilevel"/>
    <w:tmpl w:val="6A5A9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A9378B3"/>
    <w:multiLevelType w:val="multilevel"/>
    <w:tmpl w:val="29282C4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C172940"/>
    <w:multiLevelType w:val="hybridMultilevel"/>
    <w:tmpl w:val="598CC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0A5676D"/>
    <w:multiLevelType w:val="hybridMultilevel"/>
    <w:tmpl w:val="0F7EA04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7322F4B"/>
    <w:multiLevelType w:val="hybridMultilevel"/>
    <w:tmpl w:val="0986B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7920F61"/>
    <w:multiLevelType w:val="hybridMultilevel"/>
    <w:tmpl w:val="75362D52"/>
    <w:lvl w:ilvl="0" w:tplc="04090001">
      <w:start w:val="1"/>
      <w:numFmt w:val="bullet"/>
      <w:lvlText w:val=""/>
      <w:lvlJc w:val="left"/>
      <w:pPr>
        <w:tabs>
          <w:tab w:val="num" w:pos="720"/>
        </w:tabs>
        <w:ind w:left="720" w:hanging="360"/>
      </w:pPr>
      <w:rPr>
        <w:rFonts w:ascii="Symbol" w:hAnsi="Symbol" w:hint="default"/>
      </w:rPr>
    </w:lvl>
    <w:lvl w:ilvl="1" w:tplc="6C1270D0">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8A95E59"/>
    <w:multiLevelType w:val="hybridMultilevel"/>
    <w:tmpl w:val="B0B22AD2"/>
    <w:lvl w:ilvl="0" w:tplc="39F03D06">
      <w:start w:val="1"/>
      <w:numFmt w:val="bullet"/>
      <w:lvlText w:val=""/>
      <w:lvlJc w:val="left"/>
      <w:pPr>
        <w:tabs>
          <w:tab w:val="num" w:pos="-31680"/>
        </w:tabs>
        <w:ind w:left="720" w:hanging="72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43" w15:restartNumberingAfterBreak="0">
    <w:nsid w:val="70537AF9"/>
    <w:multiLevelType w:val="hybridMultilevel"/>
    <w:tmpl w:val="FAFC50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3AC4EDA"/>
    <w:multiLevelType w:val="hybridMultilevel"/>
    <w:tmpl w:val="8012D90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8273352"/>
    <w:multiLevelType w:val="hybridMultilevel"/>
    <w:tmpl w:val="2F8A194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D533014"/>
    <w:multiLevelType w:val="hybridMultilevel"/>
    <w:tmpl w:val="66622AC6"/>
    <w:lvl w:ilvl="0" w:tplc="04090001">
      <w:start w:val="1"/>
      <w:numFmt w:val="bullet"/>
      <w:lvlText w:val=""/>
      <w:lvlJc w:val="left"/>
      <w:pPr>
        <w:tabs>
          <w:tab w:val="num" w:pos="720"/>
        </w:tabs>
        <w:ind w:left="720" w:hanging="360"/>
      </w:pPr>
      <w:rPr>
        <w:rFonts w:ascii="Symbol" w:hAnsi="Symbol" w:hint="default"/>
      </w:rPr>
    </w:lvl>
    <w:lvl w:ilvl="1" w:tplc="C5526EF2">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D707DB5"/>
    <w:multiLevelType w:val="hybridMultilevel"/>
    <w:tmpl w:val="DC30D536"/>
    <w:lvl w:ilvl="0" w:tplc="E5BA9022">
      <w:start w:val="1"/>
      <w:numFmt w:val="bullet"/>
      <w:lvlText w:val=""/>
      <w:lvlJc w:val="left"/>
      <w:pPr>
        <w:ind w:left="720" w:hanging="72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7ECF2AEE"/>
    <w:multiLevelType w:val="hybridMultilevel"/>
    <w:tmpl w:val="46906B5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42"/>
  </w:num>
  <w:num w:numId="3">
    <w:abstractNumId w:val="16"/>
  </w:num>
  <w:num w:numId="4">
    <w:abstractNumId w:val="46"/>
  </w:num>
  <w:num w:numId="5">
    <w:abstractNumId w:val="41"/>
  </w:num>
  <w:num w:numId="6">
    <w:abstractNumId w:val="18"/>
  </w:num>
  <w:num w:numId="7">
    <w:abstractNumId w:val="1"/>
  </w:num>
  <w:num w:numId="8">
    <w:abstractNumId w:val="24"/>
  </w:num>
  <w:num w:numId="9">
    <w:abstractNumId w:val="25"/>
  </w:num>
  <w:num w:numId="10">
    <w:abstractNumId w:val="44"/>
  </w:num>
  <w:num w:numId="11">
    <w:abstractNumId w:val="13"/>
  </w:num>
  <w:num w:numId="12">
    <w:abstractNumId w:val="22"/>
  </w:num>
  <w:num w:numId="13">
    <w:abstractNumId w:val="23"/>
  </w:num>
  <w:num w:numId="14">
    <w:abstractNumId w:val="14"/>
  </w:num>
  <w:num w:numId="15">
    <w:abstractNumId w:val="34"/>
  </w:num>
  <w:num w:numId="16">
    <w:abstractNumId w:val="17"/>
  </w:num>
  <w:num w:numId="17">
    <w:abstractNumId w:val="37"/>
  </w:num>
  <w:num w:numId="18">
    <w:abstractNumId w:val="20"/>
  </w:num>
  <w:num w:numId="19">
    <w:abstractNumId w:val="43"/>
  </w:num>
  <w:num w:numId="20">
    <w:abstractNumId w:val="6"/>
  </w:num>
  <w:num w:numId="21">
    <w:abstractNumId w:val="0"/>
  </w:num>
  <w:num w:numId="22">
    <w:abstractNumId w:val="7"/>
  </w:num>
  <w:num w:numId="23">
    <w:abstractNumId w:val="30"/>
  </w:num>
  <w:num w:numId="24">
    <w:abstractNumId w:val="9"/>
  </w:num>
  <w:num w:numId="25">
    <w:abstractNumId w:val="26"/>
  </w:num>
  <w:num w:numId="26">
    <w:abstractNumId w:val="31"/>
  </w:num>
  <w:num w:numId="27">
    <w:abstractNumId w:val="32"/>
  </w:num>
  <w:num w:numId="28">
    <w:abstractNumId w:val="12"/>
  </w:num>
  <w:num w:numId="29">
    <w:abstractNumId w:val="40"/>
  </w:num>
  <w:num w:numId="30">
    <w:abstractNumId w:val="11"/>
  </w:num>
  <w:num w:numId="31">
    <w:abstractNumId w:val="33"/>
  </w:num>
  <w:num w:numId="32">
    <w:abstractNumId w:val="36"/>
  </w:num>
  <w:num w:numId="33">
    <w:abstractNumId w:val="38"/>
  </w:num>
  <w:num w:numId="34">
    <w:abstractNumId w:val="10"/>
  </w:num>
  <w:num w:numId="35">
    <w:abstractNumId w:val="27"/>
  </w:num>
  <w:num w:numId="36">
    <w:abstractNumId w:val="4"/>
  </w:num>
  <w:num w:numId="37">
    <w:abstractNumId w:val="21"/>
  </w:num>
  <w:num w:numId="38">
    <w:abstractNumId w:val="47"/>
  </w:num>
  <w:num w:numId="39">
    <w:abstractNumId w:val="8"/>
  </w:num>
  <w:num w:numId="40">
    <w:abstractNumId w:val="5"/>
  </w:num>
  <w:num w:numId="41">
    <w:abstractNumId w:val="39"/>
  </w:num>
  <w:num w:numId="42">
    <w:abstractNumId w:val="48"/>
  </w:num>
  <w:num w:numId="43">
    <w:abstractNumId w:val="35"/>
  </w:num>
  <w:num w:numId="44">
    <w:abstractNumId w:val="3"/>
  </w:num>
  <w:num w:numId="45">
    <w:abstractNumId w:val="15"/>
  </w:num>
  <w:num w:numId="46">
    <w:abstractNumId w:val="29"/>
  </w:num>
  <w:num w:numId="47">
    <w:abstractNumId w:val="28"/>
  </w:num>
  <w:num w:numId="48">
    <w:abstractNumId w:val="2"/>
  </w:num>
  <w:num w:numId="49">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FAA"/>
    <w:rsid w:val="0000089B"/>
    <w:rsid w:val="0004029A"/>
    <w:rsid w:val="000474E3"/>
    <w:rsid w:val="00057D80"/>
    <w:rsid w:val="0006034E"/>
    <w:rsid w:val="00063783"/>
    <w:rsid w:val="00073765"/>
    <w:rsid w:val="000929A6"/>
    <w:rsid w:val="00095FA1"/>
    <w:rsid w:val="000B5015"/>
    <w:rsid w:val="000B788F"/>
    <w:rsid w:val="000B7C66"/>
    <w:rsid w:val="000D4E36"/>
    <w:rsid w:val="000E1E9F"/>
    <w:rsid w:val="000E62FE"/>
    <w:rsid w:val="00105B8A"/>
    <w:rsid w:val="001161E4"/>
    <w:rsid w:val="00125A26"/>
    <w:rsid w:val="001472A8"/>
    <w:rsid w:val="0015376F"/>
    <w:rsid w:val="001559FF"/>
    <w:rsid w:val="001614E0"/>
    <w:rsid w:val="00171BD8"/>
    <w:rsid w:val="0017653E"/>
    <w:rsid w:val="00182B01"/>
    <w:rsid w:val="001840D2"/>
    <w:rsid w:val="001966D7"/>
    <w:rsid w:val="001C0FEC"/>
    <w:rsid w:val="001C4D2E"/>
    <w:rsid w:val="001C7E35"/>
    <w:rsid w:val="001D3ADD"/>
    <w:rsid w:val="001E3C06"/>
    <w:rsid w:val="001F0037"/>
    <w:rsid w:val="001F0BE9"/>
    <w:rsid w:val="00202D79"/>
    <w:rsid w:val="00205D2F"/>
    <w:rsid w:val="00215E8F"/>
    <w:rsid w:val="00216C27"/>
    <w:rsid w:val="00221A93"/>
    <w:rsid w:val="00230FAB"/>
    <w:rsid w:val="002322BB"/>
    <w:rsid w:val="00251254"/>
    <w:rsid w:val="002548D1"/>
    <w:rsid w:val="0027283B"/>
    <w:rsid w:val="0028019B"/>
    <w:rsid w:val="00282E73"/>
    <w:rsid w:val="00283CAB"/>
    <w:rsid w:val="0028525A"/>
    <w:rsid w:val="002A3FEF"/>
    <w:rsid w:val="002A671B"/>
    <w:rsid w:val="002B54A6"/>
    <w:rsid w:val="002D1462"/>
    <w:rsid w:val="002F3EE9"/>
    <w:rsid w:val="00307F76"/>
    <w:rsid w:val="00321FBB"/>
    <w:rsid w:val="00330832"/>
    <w:rsid w:val="003313EA"/>
    <w:rsid w:val="00333FAA"/>
    <w:rsid w:val="003355D7"/>
    <w:rsid w:val="0036201C"/>
    <w:rsid w:val="00373AC2"/>
    <w:rsid w:val="00376768"/>
    <w:rsid w:val="00377569"/>
    <w:rsid w:val="00380F87"/>
    <w:rsid w:val="003C270D"/>
    <w:rsid w:val="003C2950"/>
    <w:rsid w:val="003F200F"/>
    <w:rsid w:val="003F3AFD"/>
    <w:rsid w:val="00405A33"/>
    <w:rsid w:val="004076C8"/>
    <w:rsid w:val="004207E3"/>
    <w:rsid w:val="00421A4C"/>
    <w:rsid w:val="004238C2"/>
    <w:rsid w:val="00435B5D"/>
    <w:rsid w:val="004363F7"/>
    <w:rsid w:val="0044525C"/>
    <w:rsid w:val="004553F1"/>
    <w:rsid w:val="004574EC"/>
    <w:rsid w:val="004664AA"/>
    <w:rsid w:val="00471C1F"/>
    <w:rsid w:val="004809FA"/>
    <w:rsid w:val="004C2D09"/>
    <w:rsid w:val="004C4A75"/>
    <w:rsid w:val="004D2DA0"/>
    <w:rsid w:val="004E14A4"/>
    <w:rsid w:val="004F1BF7"/>
    <w:rsid w:val="004F54BD"/>
    <w:rsid w:val="004F56C5"/>
    <w:rsid w:val="00506185"/>
    <w:rsid w:val="005354D0"/>
    <w:rsid w:val="0054172C"/>
    <w:rsid w:val="0054590F"/>
    <w:rsid w:val="005459EC"/>
    <w:rsid w:val="00563EA4"/>
    <w:rsid w:val="005718B5"/>
    <w:rsid w:val="005808FB"/>
    <w:rsid w:val="005811F8"/>
    <w:rsid w:val="00582605"/>
    <w:rsid w:val="00591016"/>
    <w:rsid w:val="005B215E"/>
    <w:rsid w:val="005B3F67"/>
    <w:rsid w:val="005D548F"/>
    <w:rsid w:val="005D6EF5"/>
    <w:rsid w:val="005E3A10"/>
    <w:rsid w:val="005E7509"/>
    <w:rsid w:val="00601D7F"/>
    <w:rsid w:val="00605A4C"/>
    <w:rsid w:val="00645B8B"/>
    <w:rsid w:val="00655044"/>
    <w:rsid w:val="00666922"/>
    <w:rsid w:val="00670F17"/>
    <w:rsid w:val="006710C7"/>
    <w:rsid w:val="00696A83"/>
    <w:rsid w:val="006C580A"/>
    <w:rsid w:val="006D1E69"/>
    <w:rsid w:val="006E332A"/>
    <w:rsid w:val="006F057C"/>
    <w:rsid w:val="006F22DA"/>
    <w:rsid w:val="006F2EB3"/>
    <w:rsid w:val="007011E0"/>
    <w:rsid w:val="007112D1"/>
    <w:rsid w:val="007116B1"/>
    <w:rsid w:val="00714BEE"/>
    <w:rsid w:val="007164B8"/>
    <w:rsid w:val="00721215"/>
    <w:rsid w:val="007400CF"/>
    <w:rsid w:val="007B23FC"/>
    <w:rsid w:val="007D0C1D"/>
    <w:rsid w:val="007D2000"/>
    <w:rsid w:val="007D4DBF"/>
    <w:rsid w:val="007E4732"/>
    <w:rsid w:val="007E4BA4"/>
    <w:rsid w:val="007F004E"/>
    <w:rsid w:val="007F335A"/>
    <w:rsid w:val="00803104"/>
    <w:rsid w:val="00812901"/>
    <w:rsid w:val="00826B9A"/>
    <w:rsid w:val="00842757"/>
    <w:rsid w:val="00843CC2"/>
    <w:rsid w:val="0085266D"/>
    <w:rsid w:val="008A5AA0"/>
    <w:rsid w:val="008E224D"/>
    <w:rsid w:val="0092530B"/>
    <w:rsid w:val="009341A6"/>
    <w:rsid w:val="0094208C"/>
    <w:rsid w:val="00942F17"/>
    <w:rsid w:val="00943236"/>
    <w:rsid w:val="00952CEF"/>
    <w:rsid w:val="00955421"/>
    <w:rsid w:val="00973D22"/>
    <w:rsid w:val="00990E9C"/>
    <w:rsid w:val="00994542"/>
    <w:rsid w:val="00994908"/>
    <w:rsid w:val="009B160B"/>
    <w:rsid w:val="009C237B"/>
    <w:rsid w:val="009C4DD1"/>
    <w:rsid w:val="009E5A93"/>
    <w:rsid w:val="009F3154"/>
    <w:rsid w:val="00A1211C"/>
    <w:rsid w:val="00A20113"/>
    <w:rsid w:val="00A20D78"/>
    <w:rsid w:val="00A2215F"/>
    <w:rsid w:val="00A22839"/>
    <w:rsid w:val="00A23E19"/>
    <w:rsid w:val="00A33185"/>
    <w:rsid w:val="00A53B04"/>
    <w:rsid w:val="00A661F4"/>
    <w:rsid w:val="00A66326"/>
    <w:rsid w:val="00A7271A"/>
    <w:rsid w:val="00A74D79"/>
    <w:rsid w:val="00A773A1"/>
    <w:rsid w:val="00A81E19"/>
    <w:rsid w:val="00A9723B"/>
    <w:rsid w:val="00AB795F"/>
    <w:rsid w:val="00AC366E"/>
    <w:rsid w:val="00AC6312"/>
    <w:rsid w:val="00AD1E77"/>
    <w:rsid w:val="00AD6D80"/>
    <w:rsid w:val="00AE2633"/>
    <w:rsid w:val="00AF31F7"/>
    <w:rsid w:val="00AF5224"/>
    <w:rsid w:val="00B008A4"/>
    <w:rsid w:val="00B1160D"/>
    <w:rsid w:val="00B139FB"/>
    <w:rsid w:val="00B15BF8"/>
    <w:rsid w:val="00B444E6"/>
    <w:rsid w:val="00B52011"/>
    <w:rsid w:val="00B53EFF"/>
    <w:rsid w:val="00B54AFA"/>
    <w:rsid w:val="00B671A4"/>
    <w:rsid w:val="00B804E8"/>
    <w:rsid w:val="00B97D2A"/>
    <w:rsid w:val="00BB65D2"/>
    <w:rsid w:val="00BC206C"/>
    <w:rsid w:val="00BC431A"/>
    <w:rsid w:val="00BC7898"/>
    <w:rsid w:val="00BD1396"/>
    <w:rsid w:val="00BE791C"/>
    <w:rsid w:val="00BF5AFA"/>
    <w:rsid w:val="00C006B2"/>
    <w:rsid w:val="00C01A35"/>
    <w:rsid w:val="00C03772"/>
    <w:rsid w:val="00C04EDA"/>
    <w:rsid w:val="00C119A2"/>
    <w:rsid w:val="00C35E0E"/>
    <w:rsid w:val="00C446B6"/>
    <w:rsid w:val="00C53F1A"/>
    <w:rsid w:val="00C57267"/>
    <w:rsid w:val="00C616FF"/>
    <w:rsid w:val="00C62B63"/>
    <w:rsid w:val="00C72B5B"/>
    <w:rsid w:val="00C869F3"/>
    <w:rsid w:val="00CB41F0"/>
    <w:rsid w:val="00CC18AC"/>
    <w:rsid w:val="00CD7D5D"/>
    <w:rsid w:val="00CF0621"/>
    <w:rsid w:val="00CF0FC4"/>
    <w:rsid w:val="00CF6932"/>
    <w:rsid w:val="00D01FE3"/>
    <w:rsid w:val="00D0381E"/>
    <w:rsid w:val="00D06CA3"/>
    <w:rsid w:val="00D07F46"/>
    <w:rsid w:val="00D170E5"/>
    <w:rsid w:val="00D37F2F"/>
    <w:rsid w:val="00D415B9"/>
    <w:rsid w:val="00D50C4A"/>
    <w:rsid w:val="00D528E8"/>
    <w:rsid w:val="00D771D0"/>
    <w:rsid w:val="00D835CF"/>
    <w:rsid w:val="00D90E94"/>
    <w:rsid w:val="00D916B5"/>
    <w:rsid w:val="00DA176F"/>
    <w:rsid w:val="00DA26FB"/>
    <w:rsid w:val="00DA36BE"/>
    <w:rsid w:val="00DB549A"/>
    <w:rsid w:val="00DB6C3D"/>
    <w:rsid w:val="00DC5ACF"/>
    <w:rsid w:val="00DC698B"/>
    <w:rsid w:val="00DD3573"/>
    <w:rsid w:val="00DD7468"/>
    <w:rsid w:val="00DE25E9"/>
    <w:rsid w:val="00DE71D3"/>
    <w:rsid w:val="00DE72CF"/>
    <w:rsid w:val="00DF08A0"/>
    <w:rsid w:val="00E13BEF"/>
    <w:rsid w:val="00E70760"/>
    <w:rsid w:val="00E9253C"/>
    <w:rsid w:val="00EA58B4"/>
    <w:rsid w:val="00EB3480"/>
    <w:rsid w:val="00EB3CF0"/>
    <w:rsid w:val="00EB45B5"/>
    <w:rsid w:val="00EB5E57"/>
    <w:rsid w:val="00EB5E59"/>
    <w:rsid w:val="00EB61DB"/>
    <w:rsid w:val="00ED1AD0"/>
    <w:rsid w:val="00ED4AFD"/>
    <w:rsid w:val="00ED6776"/>
    <w:rsid w:val="00EE4FBE"/>
    <w:rsid w:val="00F038A1"/>
    <w:rsid w:val="00F06E4E"/>
    <w:rsid w:val="00F238E0"/>
    <w:rsid w:val="00F42E1E"/>
    <w:rsid w:val="00F51E01"/>
    <w:rsid w:val="00F5649A"/>
    <w:rsid w:val="00F66A88"/>
    <w:rsid w:val="00F67DC5"/>
    <w:rsid w:val="00F82342"/>
    <w:rsid w:val="00F877DB"/>
    <w:rsid w:val="00F91AE4"/>
    <w:rsid w:val="00F93C8B"/>
    <w:rsid w:val="00F959DD"/>
    <w:rsid w:val="00F960D5"/>
    <w:rsid w:val="00FB1231"/>
    <w:rsid w:val="00FB49CE"/>
    <w:rsid w:val="00FC1C5C"/>
    <w:rsid w:val="00FE17E2"/>
    <w:rsid w:val="00FF6E4B"/>
    <w:rsid w:val="17F41994"/>
    <w:rsid w:val="224DF7B4"/>
    <w:rsid w:val="23B6646C"/>
    <w:rsid w:val="2697ADCA"/>
    <w:rsid w:val="2896C77B"/>
    <w:rsid w:val="2A3297DC"/>
    <w:rsid w:val="2D363C95"/>
    <w:rsid w:val="32959AF1"/>
    <w:rsid w:val="353475EB"/>
    <w:rsid w:val="4800DDEE"/>
    <w:rsid w:val="49CFD7D8"/>
    <w:rsid w:val="55DAD3D7"/>
    <w:rsid w:val="576EF44A"/>
    <w:rsid w:val="5908CE47"/>
    <w:rsid w:val="630BC6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8E8B24B"/>
  <w15:docId w15:val="{284D6209-673C-4A1B-A513-6F869D500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33FAA"/>
    <w:rPr>
      <w:rFonts w:ascii="Arial" w:hAnsi="Arial"/>
      <w:sz w:val="24"/>
      <w:lang w:eastAsia="en-US"/>
    </w:rPr>
  </w:style>
  <w:style w:type="paragraph" w:styleId="Heading1">
    <w:name w:val="heading 1"/>
    <w:basedOn w:val="Heading2"/>
    <w:next w:val="Normal"/>
    <w:qFormat/>
    <w:rsid w:val="00F06E4E"/>
    <w:pPr>
      <w:outlineLvl w:val="0"/>
    </w:pPr>
    <w:rPr>
      <w:b w:val="0"/>
      <w:sz w:val="36"/>
    </w:rPr>
  </w:style>
  <w:style w:type="paragraph" w:styleId="Heading2">
    <w:name w:val="heading 2"/>
    <w:basedOn w:val="Normal"/>
    <w:next w:val="Normal"/>
    <w:qFormat/>
    <w:rsid w:val="00F06E4E"/>
    <w:pPr>
      <w:outlineLvl w:val="1"/>
    </w:pPr>
    <w:rPr>
      <w:rFonts w:ascii="Arial Black" w:hAnsi="Arial Black" w:cs="Arial"/>
      <w:b/>
      <w:bCs/>
      <w:sz w:val="32"/>
      <w:szCs w:val="32"/>
    </w:rPr>
  </w:style>
  <w:style w:type="paragraph" w:styleId="Heading3">
    <w:name w:val="heading 3"/>
    <w:basedOn w:val="Normal"/>
    <w:next w:val="Normal"/>
    <w:link w:val="Heading3Char"/>
    <w:qFormat/>
    <w:rsid w:val="00F06E4E"/>
    <w:pPr>
      <w:ind w:left="720" w:hanging="720"/>
      <w:jc w:val="both"/>
      <w:outlineLvl w:val="2"/>
    </w:pPr>
    <w:rPr>
      <w:rFonts w:cs="Arial"/>
      <w:b/>
      <w:bCs/>
      <w:sz w:val="28"/>
      <w:szCs w:val="28"/>
    </w:rPr>
  </w:style>
  <w:style w:type="paragraph" w:styleId="Heading4">
    <w:name w:val="heading 4"/>
    <w:basedOn w:val="Normal"/>
    <w:next w:val="Normal"/>
    <w:qFormat/>
    <w:rsid w:val="00333FAA"/>
    <w:pPr>
      <w:keepNext/>
      <w:outlineLvl w:val="3"/>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33FAA"/>
    <w:pPr>
      <w:tabs>
        <w:tab w:val="center" w:pos="4153"/>
        <w:tab w:val="right" w:pos="8306"/>
      </w:tabs>
    </w:pPr>
    <w:rPr>
      <w:szCs w:val="24"/>
      <w:lang w:val="en-US"/>
    </w:rPr>
  </w:style>
  <w:style w:type="paragraph" w:customStyle="1" w:styleId="Infotext">
    <w:name w:val="Info text"/>
    <w:basedOn w:val="Normal"/>
    <w:rsid w:val="00333FAA"/>
    <w:rPr>
      <w:sz w:val="28"/>
    </w:rPr>
  </w:style>
  <w:style w:type="paragraph" w:styleId="Header">
    <w:name w:val="header"/>
    <w:basedOn w:val="Normal"/>
    <w:rsid w:val="00333FAA"/>
    <w:pPr>
      <w:tabs>
        <w:tab w:val="center" w:pos="4153"/>
        <w:tab w:val="right" w:pos="8306"/>
      </w:tabs>
    </w:pPr>
  </w:style>
  <w:style w:type="paragraph" w:styleId="FootnoteText">
    <w:name w:val="footnote text"/>
    <w:basedOn w:val="Normal"/>
    <w:semiHidden/>
    <w:rsid w:val="00812901"/>
    <w:rPr>
      <w:rFonts w:ascii="Times New Roman" w:hAnsi="Times New Roman"/>
      <w:sz w:val="20"/>
    </w:rPr>
  </w:style>
  <w:style w:type="paragraph" w:styleId="NormalWeb">
    <w:name w:val="Normal (Web)"/>
    <w:basedOn w:val="Normal"/>
    <w:semiHidden/>
    <w:rsid w:val="00333FAA"/>
    <w:pPr>
      <w:spacing w:before="100" w:beforeAutospacing="1" w:after="300"/>
    </w:pPr>
    <w:rPr>
      <w:rFonts w:ascii="Times New Roman" w:eastAsia="Calibri" w:hAnsi="Times New Roman"/>
      <w:szCs w:val="24"/>
      <w:lang w:val="en-US"/>
    </w:rPr>
  </w:style>
  <w:style w:type="character" w:styleId="Strong">
    <w:name w:val="Strong"/>
    <w:uiPriority w:val="22"/>
    <w:qFormat/>
    <w:rsid w:val="00333FAA"/>
    <w:rPr>
      <w:b/>
      <w:bCs/>
    </w:rPr>
  </w:style>
  <w:style w:type="character" w:styleId="PageNumber">
    <w:name w:val="page number"/>
    <w:basedOn w:val="DefaultParagraphFont"/>
    <w:rsid w:val="00333FAA"/>
  </w:style>
  <w:style w:type="paragraph" w:styleId="BodyText">
    <w:name w:val="Body Text"/>
    <w:basedOn w:val="Normal"/>
    <w:rsid w:val="001C7E35"/>
    <w:rPr>
      <w:rFonts w:cs="Arial"/>
      <w:i/>
      <w:iCs/>
    </w:rPr>
  </w:style>
  <w:style w:type="character" w:styleId="FootnoteReference">
    <w:name w:val="footnote reference"/>
    <w:semiHidden/>
    <w:rsid w:val="001C7E35"/>
    <w:rPr>
      <w:vertAlign w:val="superscript"/>
    </w:rPr>
  </w:style>
  <w:style w:type="character" w:styleId="Hyperlink">
    <w:name w:val="Hyperlink"/>
    <w:rsid w:val="001C7E35"/>
    <w:rPr>
      <w:color w:val="0000FF"/>
      <w:u w:val="single"/>
    </w:rPr>
  </w:style>
  <w:style w:type="table" w:styleId="TableGrid">
    <w:name w:val="Table Grid"/>
    <w:basedOn w:val="TableNormal"/>
    <w:rsid w:val="00196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locked/>
    <w:rsid w:val="00812901"/>
    <w:pPr>
      <w:spacing w:after="160" w:line="240" w:lineRule="exact"/>
    </w:pPr>
    <w:rPr>
      <w:rFonts w:ascii="Verdana" w:hAnsi="Verdana"/>
      <w:sz w:val="20"/>
      <w:lang w:val="en-US"/>
    </w:rPr>
  </w:style>
  <w:style w:type="paragraph" w:customStyle="1" w:styleId="Normal2">
    <w:name w:val="Normal2"/>
    <w:rsid w:val="00812901"/>
    <w:rPr>
      <w:rFonts w:ascii="Arial" w:hAnsi="Arial"/>
      <w:sz w:val="22"/>
      <w:lang w:val="en-US" w:eastAsia="en-US"/>
    </w:rPr>
  </w:style>
  <w:style w:type="paragraph" w:customStyle="1" w:styleId="CharCharCharCharCharCharCharChar">
    <w:name w:val="Char Char Char Char Char Char Char Char"/>
    <w:basedOn w:val="Normal"/>
    <w:rsid w:val="00DA26FB"/>
    <w:pPr>
      <w:spacing w:after="160" w:line="240" w:lineRule="exact"/>
    </w:pPr>
    <w:rPr>
      <w:rFonts w:ascii="Tahoma" w:hAnsi="Tahoma"/>
      <w:sz w:val="20"/>
      <w:lang w:eastAsia="en-GB"/>
    </w:rPr>
  </w:style>
  <w:style w:type="paragraph" w:styleId="ListParagraph">
    <w:name w:val="List Paragraph"/>
    <w:aliases w:val="List Paragraph 1"/>
    <w:basedOn w:val="Normal"/>
    <w:link w:val="ListParagraphChar"/>
    <w:uiPriority w:val="34"/>
    <w:qFormat/>
    <w:rsid w:val="00E70760"/>
    <w:pPr>
      <w:ind w:left="720"/>
    </w:pPr>
  </w:style>
  <w:style w:type="character" w:styleId="FollowedHyperlink">
    <w:name w:val="FollowedHyperlink"/>
    <w:rsid w:val="00C03772"/>
    <w:rPr>
      <w:color w:val="800080"/>
      <w:u w:val="single"/>
    </w:rPr>
  </w:style>
  <w:style w:type="paragraph" w:styleId="BalloonText">
    <w:name w:val="Balloon Text"/>
    <w:basedOn w:val="Normal"/>
    <w:link w:val="BalloonTextChar"/>
    <w:rsid w:val="00C869F3"/>
    <w:rPr>
      <w:rFonts w:ascii="Tahoma" w:hAnsi="Tahoma" w:cs="Tahoma"/>
      <w:sz w:val="16"/>
      <w:szCs w:val="16"/>
    </w:rPr>
  </w:style>
  <w:style w:type="character" w:customStyle="1" w:styleId="BalloonTextChar">
    <w:name w:val="Balloon Text Char"/>
    <w:basedOn w:val="DefaultParagraphFont"/>
    <w:link w:val="BalloonText"/>
    <w:rsid w:val="00C869F3"/>
    <w:rPr>
      <w:rFonts w:ascii="Tahoma" w:hAnsi="Tahoma" w:cs="Tahoma"/>
      <w:sz w:val="16"/>
      <w:szCs w:val="16"/>
      <w:lang w:eastAsia="en-US"/>
    </w:rPr>
  </w:style>
  <w:style w:type="table" w:customStyle="1" w:styleId="Style1">
    <w:name w:val="Style1"/>
    <w:basedOn w:val="TableNormal"/>
    <w:uiPriority w:val="99"/>
    <w:rsid w:val="00EB3CF0"/>
    <w:rPr>
      <w:rFonts w:ascii="Arial" w:hAnsi="Arial"/>
      <w:sz w:val="24"/>
    </w:rPr>
    <w:tblPr/>
    <w:tcPr>
      <w:shd w:val="clear" w:color="auto" w:fill="FFFFFF" w:themeFill="background1"/>
    </w:tcPr>
  </w:style>
  <w:style w:type="character" w:styleId="UnresolvedMention">
    <w:name w:val="Unresolved Mention"/>
    <w:basedOn w:val="DefaultParagraphFont"/>
    <w:uiPriority w:val="99"/>
    <w:semiHidden/>
    <w:unhideWhenUsed/>
    <w:rsid w:val="00F238E0"/>
    <w:rPr>
      <w:color w:val="605E5C"/>
      <w:shd w:val="clear" w:color="auto" w:fill="E1DFDD"/>
    </w:rPr>
  </w:style>
  <w:style w:type="paragraph" w:customStyle="1" w:styleId="paragraph">
    <w:name w:val="paragraph"/>
    <w:basedOn w:val="Normal"/>
    <w:rsid w:val="00330832"/>
    <w:pPr>
      <w:spacing w:before="100" w:beforeAutospacing="1" w:after="100" w:afterAutospacing="1"/>
    </w:pPr>
    <w:rPr>
      <w:rFonts w:ascii="Times New Roman" w:hAnsi="Times New Roman"/>
      <w:szCs w:val="24"/>
      <w:lang w:eastAsia="en-GB"/>
    </w:rPr>
  </w:style>
  <w:style w:type="character" w:customStyle="1" w:styleId="normaltextrun">
    <w:name w:val="normaltextrun"/>
    <w:basedOn w:val="DefaultParagraphFont"/>
    <w:rsid w:val="00330832"/>
  </w:style>
  <w:style w:type="character" w:customStyle="1" w:styleId="eop">
    <w:name w:val="eop"/>
    <w:basedOn w:val="DefaultParagraphFont"/>
    <w:rsid w:val="00330832"/>
  </w:style>
  <w:style w:type="paragraph" w:customStyle="1" w:styleId="StyleListParagraphBold">
    <w:name w:val="Style List Paragraph + Bold"/>
    <w:basedOn w:val="ListParagraph"/>
    <w:rsid w:val="00377569"/>
    <w:rPr>
      <w:rFonts w:eastAsia="Calibri" w:cs="Arial"/>
      <w:b/>
      <w:bCs/>
      <w:color w:val="000000"/>
      <w:szCs w:val="22"/>
      <w:lang w:eastAsia="en-GB"/>
    </w:rPr>
  </w:style>
  <w:style w:type="character" w:customStyle="1" w:styleId="Heading3Char">
    <w:name w:val="Heading 3 Char"/>
    <w:basedOn w:val="DefaultParagraphFont"/>
    <w:link w:val="Heading3"/>
    <w:rsid w:val="00B15BF8"/>
    <w:rPr>
      <w:rFonts w:ascii="Arial" w:hAnsi="Arial" w:cs="Arial"/>
      <w:b/>
      <w:bCs/>
      <w:sz w:val="28"/>
      <w:szCs w:val="28"/>
      <w:lang w:eastAsia="en-US"/>
    </w:rPr>
  </w:style>
  <w:style w:type="character" w:customStyle="1" w:styleId="ListParagraphChar">
    <w:name w:val="List Paragraph Char"/>
    <w:aliases w:val="List Paragraph 1 Char"/>
    <w:link w:val="ListParagraph"/>
    <w:uiPriority w:val="34"/>
    <w:locked/>
    <w:rsid w:val="00B15BF8"/>
    <w:rPr>
      <w:rFonts w:ascii="Arial" w:hAnsi="Arial"/>
      <w:sz w:val="24"/>
      <w:lang w:eastAsia="en-US"/>
    </w:rPr>
  </w:style>
  <w:style w:type="character" w:customStyle="1" w:styleId="apple-converted-space">
    <w:name w:val="apple-converted-space"/>
    <w:basedOn w:val="DefaultParagraphFont"/>
    <w:rsid w:val="00AE26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911114">
      <w:bodyDiv w:val="1"/>
      <w:marLeft w:val="0"/>
      <w:marRight w:val="0"/>
      <w:marTop w:val="0"/>
      <w:marBottom w:val="0"/>
      <w:divBdr>
        <w:top w:val="none" w:sz="0" w:space="0" w:color="auto"/>
        <w:left w:val="none" w:sz="0" w:space="0" w:color="auto"/>
        <w:bottom w:val="none" w:sz="0" w:space="0" w:color="auto"/>
        <w:right w:val="none" w:sz="0" w:space="0" w:color="auto"/>
      </w:divBdr>
    </w:div>
    <w:div w:id="195503352">
      <w:bodyDiv w:val="1"/>
      <w:marLeft w:val="0"/>
      <w:marRight w:val="0"/>
      <w:marTop w:val="0"/>
      <w:marBottom w:val="0"/>
      <w:divBdr>
        <w:top w:val="none" w:sz="0" w:space="0" w:color="auto"/>
        <w:left w:val="none" w:sz="0" w:space="0" w:color="auto"/>
        <w:bottom w:val="none" w:sz="0" w:space="0" w:color="auto"/>
        <w:right w:val="none" w:sz="0" w:space="0" w:color="auto"/>
      </w:divBdr>
    </w:div>
    <w:div w:id="573275037">
      <w:bodyDiv w:val="1"/>
      <w:marLeft w:val="0"/>
      <w:marRight w:val="0"/>
      <w:marTop w:val="0"/>
      <w:marBottom w:val="0"/>
      <w:divBdr>
        <w:top w:val="none" w:sz="0" w:space="0" w:color="auto"/>
        <w:left w:val="none" w:sz="0" w:space="0" w:color="auto"/>
        <w:bottom w:val="none" w:sz="0" w:space="0" w:color="auto"/>
        <w:right w:val="none" w:sz="0" w:space="0" w:color="auto"/>
      </w:divBdr>
    </w:div>
    <w:div w:id="753211943">
      <w:bodyDiv w:val="1"/>
      <w:marLeft w:val="0"/>
      <w:marRight w:val="0"/>
      <w:marTop w:val="0"/>
      <w:marBottom w:val="0"/>
      <w:divBdr>
        <w:top w:val="none" w:sz="0" w:space="0" w:color="auto"/>
        <w:left w:val="none" w:sz="0" w:space="0" w:color="auto"/>
        <w:bottom w:val="none" w:sz="0" w:space="0" w:color="auto"/>
        <w:right w:val="none" w:sz="0" w:space="0" w:color="auto"/>
      </w:divBdr>
      <w:divsChild>
        <w:div w:id="1859856872">
          <w:marLeft w:val="0"/>
          <w:marRight w:val="0"/>
          <w:marTop w:val="0"/>
          <w:marBottom w:val="0"/>
          <w:divBdr>
            <w:top w:val="none" w:sz="0" w:space="0" w:color="auto"/>
            <w:left w:val="none" w:sz="0" w:space="0" w:color="auto"/>
            <w:bottom w:val="none" w:sz="0" w:space="0" w:color="auto"/>
            <w:right w:val="none" w:sz="0" w:space="0" w:color="auto"/>
          </w:divBdr>
        </w:div>
      </w:divsChild>
    </w:div>
    <w:div w:id="902721557">
      <w:bodyDiv w:val="1"/>
      <w:marLeft w:val="0"/>
      <w:marRight w:val="0"/>
      <w:marTop w:val="0"/>
      <w:marBottom w:val="0"/>
      <w:divBdr>
        <w:top w:val="none" w:sz="0" w:space="0" w:color="auto"/>
        <w:left w:val="none" w:sz="0" w:space="0" w:color="auto"/>
        <w:bottom w:val="none" w:sz="0" w:space="0" w:color="auto"/>
        <w:right w:val="none" w:sz="0" w:space="0" w:color="auto"/>
      </w:divBdr>
    </w:div>
    <w:div w:id="906261301">
      <w:bodyDiv w:val="1"/>
      <w:marLeft w:val="0"/>
      <w:marRight w:val="0"/>
      <w:marTop w:val="0"/>
      <w:marBottom w:val="0"/>
      <w:divBdr>
        <w:top w:val="none" w:sz="0" w:space="0" w:color="auto"/>
        <w:left w:val="none" w:sz="0" w:space="0" w:color="auto"/>
        <w:bottom w:val="none" w:sz="0" w:space="0" w:color="auto"/>
        <w:right w:val="none" w:sz="0" w:space="0" w:color="auto"/>
      </w:divBdr>
    </w:div>
    <w:div w:id="971594765">
      <w:bodyDiv w:val="1"/>
      <w:marLeft w:val="0"/>
      <w:marRight w:val="0"/>
      <w:marTop w:val="0"/>
      <w:marBottom w:val="0"/>
      <w:divBdr>
        <w:top w:val="none" w:sz="0" w:space="0" w:color="auto"/>
        <w:left w:val="none" w:sz="0" w:space="0" w:color="auto"/>
        <w:bottom w:val="none" w:sz="0" w:space="0" w:color="auto"/>
        <w:right w:val="none" w:sz="0" w:space="0" w:color="auto"/>
      </w:divBdr>
    </w:div>
    <w:div w:id="1046761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jon.shaw@harrow.gov.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61656D7C1F0F24B9A4111951FA94E15" ma:contentTypeVersion="6" ma:contentTypeDescription="Create a new document." ma:contentTypeScope="" ma:versionID="54dead1c044bf3cf1426d7343f24824f">
  <xsd:schema xmlns:xsd="http://www.w3.org/2001/XMLSchema" xmlns:xs="http://www.w3.org/2001/XMLSchema" xmlns:p="http://schemas.microsoft.com/office/2006/metadata/properties" xmlns:ns2="48fdd5af-7127-4349-9ef8-8ec3aedfe79a" xmlns:ns3="d7bf0660-0b03-4216-b364-8c8e0fe76916" targetNamespace="http://schemas.microsoft.com/office/2006/metadata/properties" ma:root="true" ma:fieldsID="a56b99441329c4257e681e6456b5fefe" ns2:_="" ns3:_="">
    <xsd:import namespace="48fdd5af-7127-4349-9ef8-8ec3aedfe79a"/>
    <xsd:import namespace="d7bf0660-0b03-4216-b364-8c8e0fe7691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fdd5af-7127-4349-9ef8-8ec3aedfe7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bf0660-0b03-4216-b364-8c8e0fe7691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C69BDD45-1CD4-4961-A8C2-64DF469425CD}">
  <ds:schemaRefs>
    <ds:schemaRef ds:uri="http://schemas.openxmlformats.org/officeDocument/2006/bibliography"/>
  </ds:schemaRefs>
</ds:datastoreItem>
</file>

<file path=customXml/itemProps2.xml><?xml version="1.0" encoding="utf-8"?>
<ds:datastoreItem xmlns:ds="http://schemas.openxmlformats.org/officeDocument/2006/customXml" ds:itemID="{05B1B39E-4BD6-4D34-B83E-79D5CD4DA14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D9C20F3-7DD3-4EF3-944E-05BD0019E0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fdd5af-7127-4349-9ef8-8ec3aedfe79a"/>
    <ds:schemaRef ds:uri="d7bf0660-0b03-4216-b364-8c8e0fe769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2EEBA5-2D35-4C07-AF7F-79817A1E9CA0}">
  <ds:schemaRefs>
    <ds:schemaRef ds:uri="http://schemas.microsoft.com/sharepoint/v3/contenttype/forms"/>
  </ds:schemaRefs>
</ds:datastoreItem>
</file>

<file path=customXml/itemProps5.xml><?xml version="1.0" encoding="utf-8"?>
<ds:datastoreItem xmlns:ds="http://schemas.openxmlformats.org/officeDocument/2006/customXml" ds:itemID="{B6642009-1DAA-4CD4-ACA7-9D4325563675}">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2014</Words>
  <Characters>10835</Characters>
  <Application>Microsoft Office Word</Application>
  <DocSecurity>4</DocSecurity>
  <Lines>90</Lines>
  <Paragraphs>25</Paragraphs>
  <ScaleCrop>false</ScaleCrop>
  <HeadingPairs>
    <vt:vector size="2" baseType="variant">
      <vt:variant>
        <vt:lpstr>Title</vt:lpstr>
      </vt:variant>
      <vt:variant>
        <vt:i4>1</vt:i4>
      </vt:variant>
    </vt:vector>
  </HeadingPairs>
  <TitlesOfParts>
    <vt:vector size="1" baseType="lpstr">
      <vt:lpstr>Cabinet Report Template March 2018</vt:lpstr>
    </vt:vector>
  </TitlesOfParts>
  <Company>Harrow Council</Company>
  <LinksUpToDate>false</LinksUpToDate>
  <CharactersWithSpaces>12824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Report Template March 2018</dc:title>
  <dc:creator>DGhelani</dc:creator>
  <cp:keywords>Cabinet Report Template</cp:keywords>
  <cp:lastModifiedBy>Nikoleta Kemp</cp:lastModifiedBy>
  <cp:revision>2</cp:revision>
  <cp:lastPrinted>2014-10-31T16:34:00Z</cp:lastPrinted>
  <dcterms:created xsi:type="dcterms:W3CDTF">2023-02-06T16:47:00Z</dcterms:created>
  <dcterms:modified xsi:type="dcterms:W3CDTF">2023-02-06T16:47:00Z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0x010100061656D7C1F0F24B9A4111951FA94E15</vt:lpwstr>
  </property>
  <property fmtid="{D5CDD505-2E9C-101B-9397-08002B2CF9AE}" pid="3" name="TaxKeyword">
    <vt:lpwstr>108;#Cabinet Report Template|b79b58f4-03f4-47dd-bec7-7bae4bc4af23</vt:lpwstr>
  </property>
</Properties>
</file>